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6A07" w14:textId="67BA710E" w:rsidR="0022547A" w:rsidRPr="0022547A" w:rsidRDefault="00283CBA" w:rsidP="0022547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E4BCA" wp14:editId="7C3A907F">
                <wp:simplePos x="0" y="0"/>
                <wp:positionH relativeFrom="column">
                  <wp:posOffset>-217599</wp:posOffset>
                </wp:positionH>
                <wp:positionV relativeFrom="paragraph">
                  <wp:posOffset>-415117</wp:posOffset>
                </wp:positionV>
                <wp:extent cx="6335486" cy="3770416"/>
                <wp:effectExtent l="0" t="0" r="0" b="190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5486" cy="3770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pic="http://schemas.openxmlformats.org/drawingml/2006/pictur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3D7C6" w14:textId="1A1A7680" w:rsidR="003B41E7" w:rsidRPr="009357DD" w:rsidRDefault="00E33E87" w:rsidP="003D09DF">
                            <w:pPr>
                              <w:rPr>
                                <w:rFonts w:ascii="Verdana" w:hAnsi="Verdana"/>
                                <w:color w:val="06038D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6038D"/>
                                <w:sz w:val="80"/>
                                <w:szCs w:val="80"/>
                              </w:rPr>
                              <w:t>FAQ</w:t>
                            </w:r>
                            <w:r w:rsidR="00882789">
                              <w:rPr>
                                <w:rFonts w:ascii="Verdana" w:hAnsi="Verdana"/>
                                <w:color w:val="06038D"/>
                                <w:sz w:val="80"/>
                                <w:szCs w:val="80"/>
                              </w:rPr>
                              <w:t xml:space="preserve"> -</w:t>
                            </w:r>
                            <w:r>
                              <w:rPr>
                                <w:rFonts w:ascii="Verdana" w:hAnsi="Verdana"/>
                                <w:color w:val="06038D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882789">
                              <w:rPr>
                                <w:rFonts w:ascii="Verdana" w:hAnsi="Verdana"/>
                                <w:color w:val="06038D"/>
                                <w:sz w:val="80"/>
                                <w:szCs w:val="80"/>
                              </w:rPr>
                              <w:t>A</w:t>
                            </w:r>
                            <w:r w:rsidR="003D09DF">
                              <w:rPr>
                                <w:rFonts w:ascii="Verdana" w:hAnsi="Verdana"/>
                                <w:color w:val="06038D"/>
                                <w:sz w:val="80"/>
                                <w:szCs w:val="80"/>
                              </w:rPr>
                              <w:t xml:space="preserve">nuência prévia de </w:t>
                            </w:r>
                            <w:r w:rsidR="00882789">
                              <w:rPr>
                                <w:rFonts w:ascii="Verdana" w:hAnsi="Verdana"/>
                                <w:color w:val="06038D"/>
                                <w:sz w:val="80"/>
                                <w:szCs w:val="80"/>
                              </w:rPr>
                              <w:t>A</w:t>
                            </w:r>
                            <w:r w:rsidR="003B41E7">
                              <w:rPr>
                                <w:rFonts w:ascii="Verdana" w:hAnsi="Verdana"/>
                                <w:color w:val="06038D"/>
                                <w:sz w:val="80"/>
                                <w:szCs w:val="80"/>
                              </w:rPr>
                              <w:t xml:space="preserve">lteração </w:t>
                            </w:r>
                            <w:r w:rsidR="00882789">
                              <w:rPr>
                                <w:rFonts w:ascii="Verdana" w:hAnsi="Verdana"/>
                                <w:color w:val="06038D"/>
                                <w:sz w:val="80"/>
                                <w:szCs w:val="80"/>
                              </w:rPr>
                              <w:t>S</w:t>
                            </w:r>
                            <w:r w:rsidR="003B41E7">
                              <w:rPr>
                                <w:rFonts w:ascii="Verdana" w:hAnsi="Verdana"/>
                                <w:color w:val="06038D"/>
                                <w:sz w:val="80"/>
                                <w:szCs w:val="80"/>
                              </w:rPr>
                              <w:t xml:space="preserve">ocietária de </w:t>
                            </w:r>
                            <w:r w:rsidR="00882789">
                              <w:rPr>
                                <w:rFonts w:ascii="Verdana" w:hAnsi="Verdana"/>
                                <w:color w:val="06038D"/>
                                <w:sz w:val="80"/>
                                <w:szCs w:val="80"/>
                              </w:rPr>
                              <w:t>A</w:t>
                            </w:r>
                            <w:r w:rsidR="003B41E7">
                              <w:rPr>
                                <w:rFonts w:ascii="Verdana" w:hAnsi="Verdana"/>
                                <w:color w:val="06038D"/>
                                <w:sz w:val="80"/>
                                <w:szCs w:val="80"/>
                              </w:rPr>
                              <w:t xml:space="preserve">gentes </w:t>
                            </w:r>
                            <w:r w:rsidR="00882789">
                              <w:rPr>
                                <w:rFonts w:ascii="Verdana" w:hAnsi="Verdana"/>
                                <w:color w:val="06038D"/>
                                <w:sz w:val="80"/>
                                <w:szCs w:val="80"/>
                              </w:rPr>
                              <w:t>C</w:t>
                            </w:r>
                            <w:r w:rsidR="003B41E7">
                              <w:rPr>
                                <w:rFonts w:ascii="Verdana" w:hAnsi="Verdana"/>
                                <w:color w:val="06038D"/>
                                <w:sz w:val="80"/>
                                <w:szCs w:val="80"/>
                              </w:rPr>
                              <w:t>omercializadores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E4BC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7.15pt;margin-top:-32.7pt;width:498.85pt;height:29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" filled="f" stroked="f">
                <v:textbox>
                  <w:txbxContent>
                    <w:p w14:paraId="5893D7C6" w14:textId="1A1A7680" w:rsidR="003B41E7" w:rsidRPr="009357DD" w:rsidRDefault="00E33E87" w:rsidP="003D09DF">
                      <w:pPr>
                        <w:rPr>
                          <w:rFonts w:ascii="Verdana" w:hAnsi="Verdana"/>
                          <w:color w:val="06038D"/>
                          <w:sz w:val="80"/>
                          <w:szCs w:val="80"/>
                        </w:rPr>
                      </w:pPr>
                      <w:r>
                        <w:rPr>
                          <w:rFonts w:ascii="Verdana" w:hAnsi="Verdana"/>
                          <w:color w:val="06038D"/>
                          <w:sz w:val="80"/>
                          <w:szCs w:val="80"/>
                        </w:rPr>
                        <w:t>FAQ</w:t>
                      </w:r>
                      <w:r w:rsidR="00882789">
                        <w:rPr>
                          <w:rFonts w:ascii="Verdana" w:hAnsi="Verdana"/>
                          <w:color w:val="06038D"/>
                          <w:sz w:val="80"/>
                          <w:szCs w:val="80"/>
                        </w:rPr>
                        <w:t xml:space="preserve"> -</w:t>
                      </w:r>
                      <w:r>
                        <w:rPr>
                          <w:rFonts w:ascii="Verdana" w:hAnsi="Verdana"/>
                          <w:color w:val="06038D"/>
                          <w:sz w:val="80"/>
                          <w:szCs w:val="80"/>
                        </w:rPr>
                        <w:t xml:space="preserve"> </w:t>
                      </w:r>
                      <w:r w:rsidR="00882789">
                        <w:rPr>
                          <w:rFonts w:ascii="Verdana" w:hAnsi="Verdana"/>
                          <w:color w:val="06038D"/>
                          <w:sz w:val="80"/>
                          <w:szCs w:val="80"/>
                        </w:rPr>
                        <w:t>A</w:t>
                      </w:r>
                      <w:r w:rsidR="003D09DF">
                        <w:rPr>
                          <w:rFonts w:ascii="Verdana" w:hAnsi="Verdana"/>
                          <w:color w:val="06038D"/>
                          <w:sz w:val="80"/>
                          <w:szCs w:val="80"/>
                        </w:rPr>
                        <w:t xml:space="preserve">nuência prévia de </w:t>
                      </w:r>
                      <w:r w:rsidR="00882789">
                        <w:rPr>
                          <w:rFonts w:ascii="Verdana" w:hAnsi="Verdana"/>
                          <w:color w:val="06038D"/>
                          <w:sz w:val="80"/>
                          <w:szCs w:val="80"/>
                        </w:rPr>
                        <w:t>A</w:t>
                      </w:r>
                      <w:r w:rsidR="003B41E7">
                        <w:rPr>
                          <w:rFonts w:ascii="Verdana" w:hAnsi="Verdana"/>
                          <w:color w:val="06038D"/>
                          <w:sz w:val="80"/>
                          <w:szCs w:val="80"/>
                        </w:rPr>
                        <w:t xml:space="preserve">lteração </w:t>
                      </w:r>
                      <w:r w:rsidR="00882789">
                        <w:rPr>
                          <w:rFonts w:ascii="Verdana" w:hAnsi="Verdana"/>
                          <w:color w:val="06038D"/>
                          <w:sz w:val="80"/>
                          <w:szCs w:val="80"/>
                        </w:rPr>
                        <w:t>S</w:t>
                      </w:r>
                      <w:r w:rsidR="003B41E7">
                        <w:rPr>
                          <w:rFonts w:ascii="Verdana" w:hAnsi="Verdana"/>
                          <w:color w:val="06038D"/>
                          <w:sz w:val="80"/>
                          <w:szCs w:val="80"/>
                        </w:rPr>
                        <w:t xml:space="preserve">ocietária de </w:t>
                      </w:r>
                      <w:r w:rsidR="00882789">
                        <w:rPr>
                          <w:rFonts w:ascii="Verdana" w:hAnsi="Verdana"/>
                          <w:color w:val="06038D"/>
                          <w:sz w:val="80"/>
                          <w:szCs w:val="80"/>
                        </w:rPr>
                        <w:t>A</w:t>
                      </w:r>
                      <w:r w:rsidR="003B41E7">
                        <w:rPr>
                          <w:rFonts w:ascii="Verdana" w:hAnsi="Verdana"/>
                          <w:color w:val="06038D"/>
                          <w:sz w:val="80"/>
                          <w:szCs w:val="80"/>
                        </w:rPr>
                        <w:t xml:space="preserve">gentes </w:t>
                      </w:r>
                      <w:r w:rsidR="00882789">
                        <w:rPr>
                          <w:rFonts w:ascii="Verdana" w:hAnsi="Verdana"/>
                          <w:color w:val="06038D"/>
                          <w:sz w:val="80"/>
                          <w:szCs w:val="80"/>
                        </w:rPr>
                        <w:t>C</w:t>
                      </w:r>
                      <w:r w:rsidR="003B41E7">
                        <w:rPr>
                          <w:rFonts w:ascii="Verdana" w:hAnsi="Verdana"/>
                          <w:color w:val="06038D"/>
                          <w:sz w:val="80"/>
                          <w:szCs w:val="80"/>
                        </w:rPr>
                        <w:t>omercializadores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2" behindDoc="1" locked="0" layoutInCell="1" allowOverlap="1" wp14:anchorId="43ED66D6" wp14:editId="378A8F59">
            <wp:simplePos x="0" y="0"/>
            <wp:positionH relativeFrom="column">
              <wp:posOffset>-931452</wp:posOffset>
            </wp:positionH>
            <wp:positionV relativeFrom="paragraph">
              <wp:posOffset>-1080135</wp:posOffset>
            </wp:positionV>
            <wp:extent cx="7574678" cy="10706100"/>
            <wp:effectExtent l="0" t="0" r="0" b="0"/>
            <wp:wrapNone/>
            <wp:docPr id="3" name="Imagem 3" descr="Padrão do plano de fun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Padrão do plano de fundo&#10;&#10;Descrição gerada automaticamente com confiança médi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02372" cy="10745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35BA4" w14:textId="70638F58" w:rsidR="0022547A" w:rsidRPr="0022547A" w:rsidRDefault="0022547A" w:rsidP="0022547A"/>
    <w:p w14:paraId="5E7F9F42" w14:textId="50947B5E" w:rsidR="0022547A" w:rsidRPr="0022547A" w:rsidRDefault="0022547A" w:rsidP="0022547A"/>
    <w:p w14:paraId="610D8A68" w14:textId="35DF935B" w:rsidR="0022547A" w:rsidRPr="0022547A" w:rsidRDefault="0022547A" w:rsidP="0022547A"/>
    <w:p w14:paraId="5F83930B" w14:textId="0052E371" w:rsidR="0022547A" w:rsidRPr="0022547A" w:rsidRDefault="0022547A" w:rsidP="0022547A"/>
    <w:p w14:paraId="55ACEFFA" w14:textId="1E2CF518" w:rsidR="0022547A" w:rsidRPr="0022547A" w:rsidRDefault="0022547A" w:rsidP="0022547A"/>
    <w:p w14:paraId="667F21A2" w14:textId="27ED798C" w:rsidR="0022547A" w:rsidRPr="0022547A" w:rsidRDefault="0022547A" w:rsidP="0022547A"/>
    <w:p w14:paraId="363A3F8F" w14:textId="0E17312A" w:rsidR="0022547A" w:rsidRPr="0022547A" w:rsidRDefault="0022547A" w:rsidP="0022547A"/>
    <w:p w14:paraId="73A52684" w14:textId="6060703C" w:rsidR="0022547A" w:rsidRPr="0022547A" w:rsidRDefault="0022547A" w:rsidP="0022547A"/>
    <w:p w14:paraId="21C3806E" w14:textId="3279554E" w:rsidR="0022547A" w:rsidRPr="0022547A" w:rsidRDefault="0022547A" w:rsidP="0022547A"/>
    <w:p w14:paraId="6422B3C8" w14:textId="01B48596" w:rsidR="0022547A" w:rsidRPr="0022547A" w:rsidRDefault="0022547A" w:rsidP="0022547A"/>
    <w:p w14:paraId="2257E5DC" w14:textId="3B560C79" w:rsidR="0022547A" w:rsidRPr="0022547A" w:rsidRDefault="0022547A" w:rsidP="0022547A"/>
    <w:p w14:paraId="2119F979" w14:textId="6C60E911" w:rsidR="0022547A" w:rsidRPr="0022547A" w:rsidRDefault="0022547A" w:rsidP="0022547A"/>
    <w:p w14:paraId="7C84548B" w14:textId="769009E1" w:rsidR="0022547A" w:rsidRPr="0022547A" w:rsidRDefault="00252636" w:rsidP="0022547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370F2B32" wp14:editId="5CB5D530">
                <wp:simplePos x="0" y="0"/>
                <wp:positionH relativeFrom="column">
                  <wp:posOffset>-327384</wp:posOffset>
                </wp:positionH>
                <wp:positionV relativeFrom="paragraph">
                  <wp:posOffset>348421</wp:posOffset>
                </wp:positionV>
                <wp:extent cx="5567680" cy="1513840"/>
                <wp:effectExtent l="0" t="0" r="0" b="0"/>
                <wp:wrapNone/>
                <wp:docPr id="151594730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680" cy="151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9ECCB" w14:textId="77777777" w:rsidR="00252636" w:rsidRPr="00E67ABD" w:rsidRDefault="00252636" w:rsidP="00252636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  <w:r w:rsidRPr="00E67ABD">
                              <w:rPr>
                                <w:rFonts w:asciiTheme="minorHAnsi" w:hAnsiTheme="minorHAnsi" w:cstheme="minorHAnsi"/>
                                <w:color w:val="0E2C68"/>
                                <w:sz w:val="36"/>
                                <w:szCs w:val="36"/>
                              </w:rPr>
                              <w:t>Gerência/área:</w:t>
                            </w:r>
                            <w:r w:rsidRPr="00E67ABD"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36"/>
                                <w:szCs w:val="36"/>
                              </w:rPr>
                              <w:t xml:space="preserve"> Gerência de Conformidade dos Dados de Mercado - GCDM</w:t>
                            </w:r>
                          </w:p>
                          <w:p w14:paraId="1A7DD4A1" w14:textId="21DCACF9" w:rsidR="00252636" w:rsidRPr="00E67ABD" w:rsidRDefault="00252636" w:rsidP="00252636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0E2C68"/>
                                <w:sz w:val="36"/>
                                <w:szCs w:val="36"/>
                              </w:rPr>
                            </w:pPr>
                            <w:r w:rsidRPr="00E67ABD">
                              <w:rPr>
                                <w:rFonts w:asciiTheme="minorHAnsi" w:hAnsiTheme="minorHAnsi" w:cstheme="minorHAnsi"/>
                                <w:color w:val="0E2C68"/>
                                <w:sz w:val="36"/>
                                <w:szCs w:val="36"/>
                              </w:rPr>
                              <w:t>Autor:</w:t>
                            </w:r>
                            <w:r w:rsidRPr="00E67ABD"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36"/>
                                <w:szCs w:val="36"/>
                              </w:rPr>
                              <w:t xml:space="preserve"> GESEM - GCDM</w:t>
                            </w:r>
                          </w:p>
                          <w:p w14:paraId="6852F6C2" w14:textId="77777777" w:rsidR="00252636" w:rsidRPr="00E67ABD" w:rsidRDefault="00252636" w:rsidP="00252636">
                            <w:pPr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  <w:r w:rsidRPr="00E67ABD">
                              <w:rPr>
                                <w:rFonts w:asciiTheme="minorHAnsi" w:hAnsiTheme="minorHAnsi" w:cstheme="minorHAnsi"/>
                                <w:color w:val="0E2C68"/>
                                <w:sz w:val="36"/>
                                <w:szCs w:val="36"/>
                              </w:rPr>
                              <w:t>Versão:</w:t>
                            </w:r>
                            <w:r w:rsidRPr="00E67ABD"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36"/>
                                <w:szCs w:val="36"/>
                              </w:rPr>
                              <w:t xml:space="preserve"> 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F2B3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-25.8pt;margin-top:27.45pt;width:438.4pt;height:119.2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" filled="f" stroked="f">
                <v:textbox>
                  <w:txbxContent>
                    <w:p w14:paraId="0279ECCB" w14:textId="77777777" w:rsidR="00252636" w:rsidRPr="00E67ABD" w:rsidRDefault="00252636" w:rsidP="00252636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262626" w:themeColor="text1" w:themeTint="D9"/>
                          <w:sz w:val="36"/>
                          <w:szCs w:val="36"/>
                        </w:rPr>
                      </w:pPr>
                      <w:r w:rsidRPr="00E67ABD">
                        <w:rPr>
                          <w:rFonts w:asciiTheme="minorHAnsi" w:hAnsiTheme="minorHAnsi" w:cstheme="minorHAnsi"/>
                          <w:color w:val="0E2C68"/>
                          <w:sz w:val="36"/>
                          <w:szCs w:val="36"/>
                        </w:rPr>
                        <w:t>Gerência/área:</w:t>
                      </w:r>
                      <w:r w:rsidRPr="00E67ABD">
                        <w:rPr>
                          <w:rFonts w:asciiTheme="minorHAnsi" w:hAnsiTheme="minorHAnsi" w:cstheme="minorHAnsi"/>
                          <w:color w:val="262626" w:themeColor="text1" w:themeTint="D9"/>
                          <w:sz w:val="36"/>
                          <w:szCs w:val="36"/>
                        </w:rPr>
                        <w:t xml:space="preserve"> Gerência de Conformidade dos Dados de Mercado - GCDM</w:t>
                      </w:r>
                    </w:p>
                    <w:p w14:paraId="1A7DD4A1" w14:textId="21DCACF9" w:rsidR="00252636" w:rsidRPr="00E67ABD" w:rsidRDefault="00252636" w:rsidP="00252636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0E2C68"/>
                          <w:sz w:val="36"/>
                          <w:szCs w:val="36"/>
                        </w:rPr>
                      </w:pPr>
                      <w:r w:rsidRPr="00E67ABD">
                        <w:rPr>
                          <w:rFonts w:asciiTheme="minorHAnsi" w:hAnsiTheme="minorHAnsi" w:cstheme="minorHAnsi"/>
                          <w:color w:val="0E2C68"/>
                          <w:sz w:val="36"/>
                          <w:szCs w:val="36"/>
                        </w:rPr>
                        <w:t>Autor:</w:t>
                      </w:r>
                      <w:r w:rsidRPr="00E67ABD">
                        <w:rPr>
                          <w:rFonts w:asciiTheme="minorHAnsi" w:hAnsiTheme="minorHAnsi" w:cstheme="minorHAnsi"/>
                          <w:color w:val="262626" w:themeColor="text1" w:themeTint="D9"/>
                          <w:sz w:val="36"/>
                          <w:szCs w:val="36"/>
                        </w:rPr>
                        <w:t xml:space="preserve"> GESEM - GCDM</w:t>
                      </w:r>
                    </w:p>
                    <w:p w14:paraId="6852F6C2" w14:textId="77777777" w:rsidR="00252636" w:rsidRPr="00E67ABD" w:rsidRDefault="00252636" w:rsidP="00252636">
                      <w:pPr>
                        <w:rPr>
                          <w:rFonts w:asciiTheme="minorHAnsi" w:hAnsiTheme="minorHAnsi" w:cstheme="minorHAnsi"/>
                          <w:color w:val="262626" w:themeColor="text1" w:themeTint="D9"/>
                          <w:sz w:val="36"/>
                          <w:szCs w:val="36"/>
                        </w:rPr>
                      </w:pPr>
                      <w:r w:rsidRPr="00E67ABD">
                        <w:rPr>
                          <w:rFonts w:asciiTheme="minorHAnsi" w:hAnsiTheme="minorHAnsi" w:cstheme="minorHAnsi"/>
                          <w:color w:val="0E2C68"/>
                          <w:sz w:val="36"/>
                          <w:szCs w:val="36"/>
                        </w:rPr>
                        <w:t>Versão:</w:t>
                      </w:r>
                      <w:r w:rsidRPr="00E67ABD">
                        <w:rPr>
                          <w:rFonts w:asciiTheme="minorHAnsi" w:hAnsiTheme="minorHAnsi" w:cstheme="minorHAnsi"/>
                          <w:color w:val="262626" w:themeColor="text1" w:themeTint="D9"/>
                          <w:sz w:val="36"/>
                          <w:szCs w:val="36"/>
                        </w:rPr>
                        <w:t xml:space="preserve"> 1.0</w:t>
                      </w:r>
                    </w:p>
                  </w:txbxContent>
                </v:textbox>
              </v:shape>
            </w:pict>
          </mc:Fallback>
        </mc:AlternateContent>
      </w:r>
    </w:p>
    <w:p w14:paraId="7BAC6489" w14:textId="7A1AF095" w:rsidR="0022547A" w:rsidRPr="0022547A" w:rsidRDefault="0022547A" w:rsidP="0022547A"/>
    <w:p w14:paraId="1F99C858" w14:textId="5524E719" w:rsidR="0022547A" w:rsidRPr="0022547A" w:rsidRDefault="0022547A" w:rsidP="0022547A"/>
    <w:p w14:paraId="69A79316" w14:textId="4532C298" w:rsidR="0022547A" w:rsidRPr="0022547A" w:rsidRDefault="0022547A" w:rsidP="0022547A"/>
    <w:p w14:paraId="5CC298E5" w14:textId="5B9FC007" w:rsidR="00E92A43" w:rsidRDefault="00E92A43">
      <w:r>
        <w:br w:type="page"/>
      </w:r>
    </w:p>
    <w:p w14:paraId="3070643B" w14:textId="0A74918D" w:rsidR="00144551" w:rsidRDefault="00144551" w:rsidP="0022547A">
      <w:pPr>
        <w:sectPr w:rsidR="00144551" w:rsidSect="005D191D">
          <w:headerReference w:type="default" r:id="rId8"/>
          <w:pgSz w:w="11906" w:h="16838"/>
          <w:pgMar w:top="1701" w:right="1134" w:bottom="567" w:left="1418" w:header="709" w:footer="709" w:gutter="0"/>
          <w:pgNumType w:start="1"/>
          <w:cols w:space="708"/>
          <w:titlePg/>
          <w:docGrid w:linePitch="360"/>
        </w:sectPr>
      </w:pPr>
    </w:p>
    <w:p w14:paraId="62C1F982" w14:textId="448927D5" w:rsidR="0022547A" w:rsidRDefault="0022547A" w:rsidP="0022547A"/>
    <w:sdt>
      <w:sdtPr>
        <w:rPr>
          <w:rFonts w:ascii="Calibri" w:eastAsia="Calibri" w:hAnsi="Calibri" w:cstheme="minorBidi"/>
          <w:color w:val="auto"/>
          <w:sz w:val="22"/>
          <w:szCs w:val="22"/>
          <w:lang w:eastAsia="en-US"/>
        </w:rPr>
        <w:id w:val="8679537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9FAC06" w14:textId="60F567DA" w:rsidR="00E33E87" w:rsidRPr="00B03837" w:rsidRDefault="00E33E87" w:rsidP="00B03837">
          <w:pPr>
            <w:pStyle w:val="CabealhodoSumrio"/>
            <w:jc w:val="center"/>
            <w:rPr>
              <w:rFonts w:asciiTheme="minorHAnsi" w:hAnsiTheme="minorHAnsi" w:cstheme="minorHAnsi"/>
              <w:b/>
              <w:bCs/>
              <w:color w:val="06038D"/>
              <w:sz w:val="28"/>
              <w:szCs w:val="28"/>
            </w:rPr>
          </w:pPr>
          <w:r w:rsidRPr="00B03837">
            <w:rPr>
              <w:rFonts w:asciiTheme="minorHAnsi" w:hAnsiTheme="minorHAnsi" w:cstheme="minorHAnsi"/>
              <w:b/>
              <w:bCs/>
              <w:color w:val="06038D"/>
              <w:sz w:val="28"/>
              <w:szCs w:val="28"/>
            </w:rPr>
            <w:t>Sumário</w:t>
          </w:r>
        </w:p>
        <w:p w14:paraId="5A29B253" w14:textId="6C3E3577" w:rsidR="00496A17" w:rsidRDefault="00E33E87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r w:rsidRPr="00B03837">
            <w:rPr>
              <w:color w:val="4C4C4C"/>
              <w:sz w:val="24"/>
              <w:szCs w:val="24"/>
            </w:rPr>
            <w:fldChar w:fldCharType="begin"/>
          </w:r>
          <w:r w:rsidRPr="00B03837">
            <w:rPr>
              <w:color w:val="4C4C4C"/>
              <w:sz w:val="24"/>
              <w:szCs w:val="24"/>
            </w:rPr>
            <w:instrText xml:space="preserve"> TOC \o "1-3" \h \z \u </w:instrText>
          </w:r>
          <w:r w:rsidRPr="00B03837">
            <w:rPr>
              <w:color w:val="4C4C4C"/>
              <w:sz w:val="24"/>
              <w:szCs w:val="24"/>
            </w:rPr>
            <w:fldChar w:fldCharType="separate"/>
          </w:r>
          <w:hyperlink w:anchor="_Toc187318010" w:history="1">
            <w:r w:rsidR="00496A17" w:rsidRPr="006E4C5A">
              <w:rPr>
                <w:rStyle w:val="Hyperlink"/>
                <w:rFonts w:cstheme="minorHAnsi"/>
                <w:b/>
                <w:bCs/>
                <w:noProof/>
              </w:rPr>
              <w:t>1 – Objetivo</w:t>
            </w:r>
            <w:r w:rsidR="00496A17">
              <w:rPr>
                <w:noProof/>
                <w:webHidden/>
              </w:rPr>
              <w:tab/>
            </w:r>
            <w:r w:rsidR="00496A17">
              <w:rPr>
                <w:noProof/>
                <w:webHidden/>
              </w:rPr>
              <w:fldChar w:fldCharType="begin"/>
            </w:r>
            <w:r w:rsidR="00496A17">
              <w:rPr>
                <w:noProof/>
                <w:webHidden/>
              </w:rPr>
              <w:instrText xml:space="preserve"> PAGEREF _Toc187318010 \h </w:instrText>
            </w:r>
            <w:r w:rsidR="00496A17">
              <w:rPr>
                <w:noProof/>
                <w:webHidden/>
              </w:rPr>
            </w:r>
            <w:r w:rsidR="00496A17">
              <w:rPr>
                <w:noProof/>
                <w:webHidden/>
              </w:rPr>
              <w:fldChar w:fldCharType="separate"/>
            </w:r>
            <w:r w:rsidR="00496A17">
              <w:rPr>
                <w:noProof/>
                <w:webHidden/>
              </w:rPr>
              <w:t>2</w:t>
            </w:r>
            <w:r w:rsidR="00496A17">
              <w:rPr>
                <w:noProof/>
                <w:webHidden/>
              </w:rPr>
              <w:fldChar w:fldCharType="end"/>
            </w:r>
          </w:hyperlink>
        </w:p>
        <w:p w14:paraId="0CAAF7F7" w14:textId="0F9CD0AE" w:rsidR="00496A17" w:rsidRDefault="00496A17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18011" w:history="1">
            <w:r w:rsidRPr="006E4C5A">
              <w:rPr>
                <w:rStyle w:val="Hyperlink"/>
                <w:rFonts w:cstheme="minorHAnsi"/>
                <w:b/>
                <w:bCs/>
                <w:noProof/>
              </w:rPr>
              <w:t>2 – Principais questionamentos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_Toc187318011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78218" w14:textId="1BA79AF3" w:rsidR="00496A17" w:rsidRDefault="00496A17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18012" w:history="1">
            <w:r w:rsidRPr="006E4C5A">
              <w:rPr>
                <w:rStyle w:val="Hyperlink"/>
                <w:rFonts w:cstheme="minorHAnsi"/>
                <w:noProof/>
              </w:rPr>
              <w:t>2.1 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_Toc187318012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69182" w14:textId="60036AA4" w:rsidR="00496A17" w:rsidRDefault="00496A17">
          <w:pPr>
            <w:pStyle w:val="Sumrio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18013" w:history="1">
            <w:r w:rsidRPr="006E4C5A">
              <w:rPr>
                <w:rStyle w:val="Hyperlink"/>
                <w:rFonts w:cstheme="minorHAnsi"/>
                <w:noProof/>
              </w:rPr>
              <w:t>2.1.1 – A anuência prévia para o processo de alteração societária é obrigatório?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_Toc187318013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90A4F" w14:textId="40F21D04" w:rsidR="00496A17" w:rsidRDefault="00496A17">
          <w:pPr>
            <w:pStyle w:val="Sumrio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18014" w:history="1">
            <w:r w:rsidRPr="006E4C5A">
              <w:rPr>
                <w:rStyle w:val="Hyperlink"/>
                <w:rFonts w:cstheme="minorHAnsi"/>
                <w:noProof/>
              </w:rPr>
              <w:t>2.1.2 – Onde encontro e quais informações devo enviar?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_Toc187318014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D499F" w14:textId="3053BBC7" w:rsidR="00496A17" w:rsidRDefault="00496A17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18015" w:history="1">
            <w:r w:rsidRPr="006E4C5A">
              <w:rPr>
                <w:rStyle w:val="Hyperlink"/>
                <w:rFonts w:cstheme="minorHAnsi"/>
                <w:noProof/>
              </w:rPr>
              <w:t>2.2 Período de envio das informações para alteração societária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_Toc187318015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E3931" w14:textId="5D41F498" w:rsidR="00496A17" w:rsidRDefault="00496A17">
          <w:pPr>
            <w:pStyle w:val="Sumrio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18016" w:history="1">
            <w:r w:rsidRPr="006E4C5A">
              <w:rPr>
                <w:rStyle w:val="Hyperlink"/>
                <w:rFonts w:cstheme="minorHAnsi"/>
                <w:noProof/>
              </w:rPr>
              <w:t>2.2.1 – Qual o prazo do processo?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_Toc187318016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5044F" w14:textId="468ECBC6" w:rsidR="00496A17" w:rsidRDefault="00496A17">
          <w:pPr>
            <w:pStyle w:val="Sumrio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18017" w:history="1">
            <w:r w:rsidRPr="006E4C5A">
              <w:rPr>
                <w:rStyle w:val="Hyperlink"/>
                <w:rFonts w:cstheme="minorHAnsi"/>
                <w:noProof/>
              </w:rPr>
              <w:t>2.1.3 – Como eu realizado o envio das informações?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_Toc187318017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83401C" w14:textId="1BEF4733" w:rsidR="00496A17" w:rsidRDefault="00496A17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18018" w:history="1">
            <w:r w:rsidRPr="006E4C5A">
              <w:rPr>
                <w:rStyle w:val="Hyperlink"/>
                <w:rFonts w:cstheme="minorHAnsi"/>
                <w:noProof/>
              </w:rPr>
              <w:t>2.3 Conclusão da alteração societária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_Toc187318018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F644A" w14:textId="6EFDD4C5" w:rsidR="00496A17" w:rsidRDefault="00496A17">
          <w:pPr>
            <w:pStyle w:val="Sumrio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18019" w:history="1">
            <w:r w:rsidRPr="006E4C5A">
              <w:rPr>
                <w:rStyle w:val="Hyperlink"/>
                <w:rFonts w:cstheme="minorHAnsi"/>
                <w:noProof/>
              </w:rPr>
              <w:t>2.3.1 – Quando posso registrar a alteração societária nos órgãos competentes?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_Toc187318019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736DC" w14:textId="49BB6FE8" w:rsidR="00496A17" w:rsidRDefault="00496A17">
          <w:pPr>
            <w:pStyle w:val="Sumrio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18020" w:history="1">
            <w:r w:rsidRPr="006E4C5A">
              <w:rPr>
                <w:rStyle w:val="Hyperlink"/>
                <w:rFonts w:cstheme="minorHAnsi"/>
                <w:noProof/>
              </w:rPr>
              <w:t>2.1.6 - O que acontece caso eu não realize o processo antes do registro?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_Toc187318020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972A69" w14:textId="559A4261" w:rsidR="00E33E87" w:rsidRDefault="00E33E87" w:rsidP="00781534">
          <w:r w:rsidRPr="00B03837">
            <w:rPr>
              <w:b/>
              <w:bCs/>
              <w:color w:val="4C4C4C"/>
              <w:sz w:val="24"/>
              <w:szCs w:val="24"/>
            </w:rPr>
            <w:fldChar w:fldCharType="end"/>
          </w:r>
        </w:p>
      </w:sdtContent>
    </w:sdt>
    <w:p w14:paraId="73BB85F4" w14:textId="77777777" w:rsidR="00781534" w:rsidRDefault="00781534" w:rsidP="00781534"/>
    <w:p w14:paraId="5E57971E" w14:textId="77777777" w:rsidR="00781534" w:rsidRDefault="00781534" w:rsidP="00781534"/>
    <w:p w14:paraId="69A42CE2" w14:textId="77777777" w:rsidR="00781534" w:rsidRDefault="00781534" w:rsidP="00781534"/>
    <w:p w14:paraId="664E23DB" w14:textId="77777777" w:rsidR="00781534" w:rsidRDefault="00781534" w:rsidP="00781534"/>
    <w:p w14:paraId="667E8419" w14:textId="77777777" w:rsidR="00781534" w:rsidRDefault="00781534" w:rsidP="00781534"/>
    <w:p w14:paraId="4700A3D5" w14:textId="77777777" w:rsidR="00781534" w:rsidRDefault="00781534" w:rsidP="00781534"/>
    <w:p w14:paraId="751A3A41" w14:textId="77777777" w:rsidR="00781534" w:rsidRDefault="00781534" w:rsidP="00781534"/>
    <w:p w14:paraId="644B74AD" w14:textId="77777777" w:rsidR="00781534" w:rsidRDefault="00781534" w:rsidP="00781534"/>
    <w:p w14:paraId="3A0A4D88" w14:textId="77777777" w:rsidR="00781534" w:rsidRDefault="00781534" w:rsidP="00781534"/>
    <w:p w14:paraId="04810A92" w14:textId="77777777" w:rsidR="00781534" w:rsidRDefault="00781534" w:rsidP="00781534"/>
    <w:p w14:paraId="5E2FC28B" w14:textId="77777777" w:rsidR="00781534" w:rsidRDefault="00781534" w:rsidP="00781534"/>
    <w:p w14:paraId="6CA37D3A" w14:textId="77777777" w:rsidR="00781534" w:rsidRDefault="00781534" w:rsidP="00781534"/>
    <w:p w14:paraId="6AFEF71B" w14:textId="77777777" w:rsidR="00781534" w:rsidRDefault="00781534" w:rsidP="00781534"/>
    <w:p w14:paraId="7CBA50A1" w14:textId="77777777" w:rsidR="00781534" w:rsidRDefault="00781534" w:rsidP="00781534"/>
    <w:p w14:paraId="2308074B" w14:textId="77777777" w:rsidR="00781534" w:rsidRDefault="00781534" w:rsidP="00781534"/>
    <w:p w14:paraId="68F8B40D" w14:textId="69473AB1" w:rsidR="00E33E87" w:rsidRPr="00B608D5" w:rsidRDefault="00E33E87" w:rsidP="00E33E87">
      <w:pPr>
        <w:pStyle w:val="Ttulo1"/>
        <w:rPr>
          <w:rFonts w:asciiTheme="minorHAnsi" w:hAnsiTheme="minorHAnsi" w:cstheme="minorHAnsi"/>
          <w:b/>
          <w:bCs/>
          <w:color w:val="06038D"/>
          <w:sz w:val="28"/>
          <w:szCs w:val="28"/>
        </w:rPr>
      </w:pPr>
      <w:bookmarkStart w:id="0" w:name="_Toc187318010"/>
      <w:r w:rsidRPr="00B608D5">
        <w:rPr>
          <w:rFonts w:asciiTheme="minorHAnsi" w:hAnsiTheme="minorHAnsi" w:cstheme="minorHAnsi"/>
          <w:b/>
          <w:bCs/>
          <w:color w:val="06038D"/>
          <w:sz w:val="28"/>
          <w:szCs w:val="28"/>
        </w:rPr>
        <w:lastRenderedPageBreak/>
        <w:t>1 – Objetivo</w:t>
      </w:r>
      <w:bookmarkEnd w:id="0"/>
    </w:p>
    <w:p w14:paraId="2D73A89B" w14:textId="4E8C8DCF" w:rsidR="00E33E87" w:rsidRPr="00157473" w:rsidRDefault="00E33E87" w:rsidP="003B41E7">
      <w:pPr>
        <w:jc w:val="both"/>
        <w:rPr>
          <w:color w:val="4C4C4C"/>
          <w:sz w:val="24"/>
          <w:szCs w:val="24"/>
        </w:rPr>
      </w:pPr>
      <w:r w:rsidRPr="00157473">
        <w:rPr>
          <w:color w:val="4C4C4C"/>
          <w:sz w:val="24"/>
          <w:szCs w:val="24"/>
        </w:rPr>
        <w:t xml:space="preserve">O presente documento tem por objetivo agrupar os principais questionamentos relacionados ao processo de </w:t>
      </w:r>
      <w:r w:rsidR="003B41E7" w:rsidRPr="00157473">
        <w:rPr>
          <w:color w:val="4C4C4C"/>
          <w:sz w:val="24"/>
          <w:szCs w:val="24"/>
        </w:rPr>
        <w:t>alteração societária</w:t>
      </w:r>
      <w:r w:rsidRPr="00157473">
        <w:rPr>
          <w:color w:val="4C4C4C"/>
          <w:sz w:val="24"/>
          <w:szCs w:val="24"/>
        </w:rPr>
        <w:t xml:space="preserve"> </w:t>
      </w:r>
      <w:r w:rsidR="003B41E7" w:rsidRPr="00157473">
        <w:rPr>
          <w:color w:val="4C4C4C"/>
          <w:sz w:val="24"/>
          <w:szCs w:val="24"/>
        </w:rPr>
        <w:t xml:space="preserve">para os agentes da classe dos </w:t>
      </w:r>
      <w:r w:rsidRPr="00157473">
        <w:rPr>
          <w:color w:val="4C4C4C"/>
          <w:sz w:val="24"/>
          <w:szCs w:val="24"/>
        </w:rPr>
        <w:t>comercializador</w:t>
      </w:r>
      <w:r w:rsidR="003B41E7" w:rsidRPr="00157473">
        <w:rPr>
          <w:color w:val="4C4C4C"/>
          <w:sz w:val="24"/>
          <w:szCs w:val="24"/>
        </w:rPr>
        <w:t>es</w:t>
      </w:r>
      <w:r w:rsidR="00893ED1">
        <w:rPr>
          <w:color w:val="4C4C4C"/>
          <w:sz w:val="24"/>
          <w:szCs w:val="24"/>
        </w:rPr>
        <w:t>.</w:t>
      </w:r>
    </w:p>
    <w:p w14:paraId="31DD014A" w14:textId="39200D99" w:rsidR="00E33E87" w:rsidRPr="003D5F5B" w:rsidRDefault="00E33E87" w:rsidP="003D5F5B">
      <w:pPr>
        <w:pStyle w:val="Ttulo1"/>
        <w:rPr>
          <w:rFonts w:asciiTheme="minorHAnsi" w:hAnsiTheme="minorHAnsi" w:cstheme="minorHAnsi"/>
          <w:b/>
          <w:bCs/>
          <w:color w:val="06038D"/>
          <w:sz w:val="28"/>
          <w:szCs w:val="28"/>
        </w:rPr>
      </w:pPr>
      <w:bookmarkStart w:id="1" w:name="_Toc187318011"/>
      <w:r w:rsidRPr="003D5F5B">
        <w:rPr>
          <w:rFonts w:asciiTheme="minorHAnsi" w:hAnsiTheme="minorHAnsi" w:cstheme="minorHAnsi"/>
          <w:b/>
          <w:bCs/>
          <w:color w:val="06038D"/>
          <w:sz w:val="28"/>
          <w:szCs w:val="28"/>
        </w:rPr>
        <w:t>2 – Principais questionamentos</w:t>
      </w:r>
      <w:bookmarkEnd w:id="1"/>
    </w:p>
    <w:p w14:paraId="707CCF96" w14:textId="47E9D254" w:rsidR="00E33E87" w:rsidRDefault="00E33E87" w:rsidP="009742EF">
      <w:pPr>
        <w:pStyle w:val="Ttulo2"/>
      </w:pPr>
      <w:bookmarkStart w:id="2" w:name="_Toc187318012"/>
      <w:r w:rsidRPr="009742EF">
        <w:rPr>
          <w:rFonts w:asciiTheme="minorHAnsi" w:hAnsiTheme="minorHAnsi" w:cstheme="minorHAnsi"/>
          <w:color w:val="06038D"/>
          <w:sz w:val="28"/>
          <w:szCs w:val="28"/>
        </w:rPr>
        <w:t>2.1 Introdução</w:t>
      </w:r>
      <w:bookmarkEnd w:id="2"/>
    </w:p>
    <w:p w14:paraId="4FA9ED17" w14:textId="77777777" w:rsidR="00BE46D4" w:rsidRPr="00BE46D4" w:rsidRDefault="00BE46D4" w:rsidP="00BE46D4">
      <w:pPr>
        <w:spacing w:line="240" w:lineRule="auto"/>
      </w:pPr>
    </w:p>
    <w:p w14:paraId="2DF1293E" w14:textId="648911FC" w:rsidR="00BE46D4" w:rsidRPr="00BE46D4" w:rsidRDefault="00E33E87" w:rsidP="00067EED">
      <w:pPr>
        <w:pStyle w:val="Ttulo3"/>
      </w:pPr>
      <w:bookmarkStart w:id="3" w:name="_Toc187318013"/>
      <w:r w:rsidRPr="00067EED">
        <w:rPr>
          <w:rFonts w:asciiTheme="minorHAnsi" w:hAnsiTheme="minorHAnsi" w:cstheme="minorHAnsi"/>
          <w:color w:val="06038D"/>
        </w:rPr>
        <w:t>2.1.1 –</w:t>
      </w:r>
      <w:r w:rsidR="00C80AC5">
        <w:rPr>
          <w:rFonts w:asciiTheme="minorHAnsi" w:hAnsiTheme="minorHAnsi" w:cstheme="minorHAnsi"/>
          <w:color w:val="06038D"/>
        </w:rPr>
        <w:t xml:space="preserve"> A anuência prévia para o</w:t>
      </w:r>
      <w:r w:rsidR="003B41E7" w:rsidRPr="00067EED">
        <w:rPr>
          <w:rFonts w:asciiTheme="minorHAnsi" w:hAnsiTheme="minorHAnsi" w:cstheme="minorHAnsi"/>
          <w:color w:val="06038D"/>
        </w:rPr>
        <w:t xml:space="preserve"> processo de alteração societária é </w:t>
      </w:r>
      <w:r w:rsidR="004B5948" w:rsidRPr="00067EED">
        <w:rPr>
          <w:rFonts w:asciiTheme="minorHAnsi" w:hAnsiTheme="minorHAnsi" w:cstheme="minorHAnsi"/>
          <w:color w:val="06038D"/>
        </w:rPr>
        <w:t>obrigatória</w:t>
      </w:r>
      <w:r w:rsidRPr="00067EED">
        <w:rPr>
          <w:rFonts w:asciiTheme="minorHAnsi" w:hAnsiTheme="minorHAnsi" w:cstheme="minorHAnsi"/>
          <w:color w:val="06038D"/>
        </w:rPr>
        <w:t>?</w:t>
      </w:r>
      <w:bookmarkEnd w:id="3"/>
    </w:p>
    <w:p w14:paraId="2CBDB1B8" w14:textId="77777777" w:rsidR="00C80AC5" w:rsidRPr="00C80AC5" w:rsidRDefault="00C80AC5" w:rsidP="00C80AC5">
      <w:pPr>
        <w:jc w:val="both"/>
        <w:rPr>
          <w:color w:val="4C4C4C"/>
          <w:sz w:val="24"/>
          <w:szCs w:val="24"/>
        </w:rPr>
      </w:pPr>
      <w:r w:rsidRPr="00C80AC5">
        <w:rPr>
          <w:color w:val="4C4C4C"/>
          <w:sz w:val="24"/>
          <w:szCs w:val="24"/>
        </w:rPr>
        <w:t>Sim, a anuência prévia é obrigatória para agentes comercializadores.</w:t>
      </w:r>
    </w:p>
    <w:p w14:paraId="3048309D" w14:textId="77777777" w:rsidR="00C80AC5" w:rsidRPr="00C80AC5" w:rsidRDefault="00C80AC5" w:rsidP="00C80AC5">
      <w:pPr>
        <w:jc w:val="both"/>
        <w:rPr>
          <w:color w:val="4C4C4C"/>
          <w:sz w:val="24"/>
          <w:szCs w:val="24"/>
        </w:rPr>
      </w:pPr>
      <w:r w:rsidRPr="00C80AC5">
        <w:rPr>
          <w:color w:val="4C4C4C"/>
          <w:sz w:val="24"/>
          <w:szCs w:val="24"/>
        </w:rPr>
        <w:t>Esse processo avalia se o agente continuará cumprindo os requisitos necessários para obter e manter a outorga de comercialização de energia elétrica após a entrada de novos controladores no quadro societário.</w:t>
      </w:r>
    </w:p>
    <w:p w14:paraId="6F663ABC" w14:textId="62B4682F" w:rsidR="00C80AC5" w:rsidRDefault="00C80AC5" w:rsidP="00C80AC5">
      <w:pPr>
        <w:jc w:val="both"/>
        <w:rPr>
          <w:color w:val="4C4C4C"/>
          <w:sz w:val="24"/>
          <w:szCs w:val="24"/>
        </w:rPr>
      </w:pPr>
      <w:r w:rsidRPr="00C80AC5">
        <w:rPr>
          <w:color w:val="4C4C4C"/>
          <w:sz w:val="24"/>
          <w:szCs w:val="24"/>
        </w:rPr>
        <w:t>A obrigatoriedade está definida na Resolução Normativa Aneel nº 1.011/2022 (art. 9º), com alterações da REN nº 1.014/2022, e no Submódulo 1.2 dos Procedimentos de Comercialização (PdCs).</w:t>
      </w:r>
    </w:p>
    <w:p w14:paraId="1C73770E" w14:textId="34D9F22F" w:rsidR="00BE46D4" w:rsidRPr="003344DB" w:rsidRDefault="00E33E87" w:rsidP="003344DB">
      <w:pPr>
        <w:jc w:val="both"/>
        <w:rPr>
          <w:color w:val="4C4C4C"/>
          <w:sz w:val="24"/>
          <w:szCs w:val="24"/>
        </w:rPr>
      </w:pPr>
      <w:r w:rsidRPr="003344DB">
        <w:rPr>
          <w:color w:val="4C4C4C"/>
          <w:sz w:val="24"/>
          <w:szCs w:val="24"/>
        </w:rPr>
        <w:t xml:space="preserve">Assim, o processo visa garantir robustez à segurança de mercado </w:t>
      </w:r>
      <w:r w:rsidR="00657E05" w:rsidRPr="003344DB">
        <w:rPr>
          <w:color w:val="4C4C4C"/>
          <w:sz w:val="24"/>
          <w:szCs w:val="24"/>
        </w:rPr>
        <w:t xml:space="preserve">por meio </w:t>
      </w:r>
      <w:r w:rsidRPr="003344DB">
        <w:rPr>
          <w:color w:val="4C4C4C"/>
          <w:sz w:val="24"/>
          <w:szCs w:val="24"/>
        </w:rPr>
        <w:t>da análise dos documentos enviados pelo agente.</w:t>
      </w:r>
    </w:p>
    <w:p w14:paraId="6B72BEE0" w14:textId="205F387E" w:rsidR="00C034F5" w:rsidRPr="00B859E6" w:rsidRDefault="00E33E87" w:rsidP="00B859E6">
      <w:pPr>
        <w:pStyle w:val="Ttulo3"/>
        <w:rPr>
          <w:rFonts w:asciiTheme="minorHAnsi" w:hAnsiTheme="minorHAnsi" w:cstheme="minorHAnsi"/>
          <w:color w:val="06038D"/>
        </w:rPr>
      </w:pPr>
      <w:bookmarkStart w:id="4" w:name="_Toc187318014"/>
      <w:r w:rsidRPr="00B859E6">
        <w:rPr>
          <w:rFonts w:asciiTheme="minorHAnsi" w:hAnsiTheme="minorHAnsi" w:cstheme="minorHAnsi"/>
          <w:color w:val="06038D"/>
        </w:rPr>
        <w:t xml:space="preserve">2.1.2 </w:t>
      </w:r>
      <w:r w:rsidR="00BE46D4" w:rsidRPr="00B859E6">
        <w:rPr>
          <w:rFonts w:asciiTheme="minorHAnsi" w:hAnsiTheme="minorHAnsi" w:cstheme="minorHAnsi"/>
          <w:color w:val="06038D"/>
        </w:rPr>
        <w:t>–</w:t>
      </w:r>
      <w:r w:rsidRPr="00B859E6">
        <w:rPr>
          <w:rFonts w:asciiTheme="minorHAnsi" w:hAnsiTheme="minorHAnsi" w:cstheme="minorHAnsi"/>
          <w:color w:val="06038D"/>
        </w:rPr>
        <w:t xml:space="preserve"> </w:t>
      </w:r>
      <w:r w:rsidR="00D43706" w:rsidRPr="00B859E6">
        <w:rPr>
          <w:rFonts w:asciiTheme="minorHAnsi" w:hAnsiTheme="minorHAnsi" w:cstheme="minorHAnsi"/>
          <w:color w:val="06038D"/>
        </w:rPr>
        <w:t>Onde encontro e q</w:t>
      </w:r>
      <w:r w:rsidR="00002863" w:rsidRPr="00B859E6">
        <w:rPr>
          <w:rFonts w:asciiTheme="minorHAnsi" w:hAnsiTheme="minorHAnsi" w:cstheme="minorHAnsi"/>
          <w:color w:val="06038D"/>
        </w:rPr>
        <w:t>uais informações devo enviar</w:t>
      </w:r>
      <w:r w:rsidR="00BE46D4" w:rsidRPr="00B859E6">
        <w:rPr>
          <w:rFonts w:asciiTheme="minorHAnsi" w:hAnsiTheme="minorHAnsi" w:cstheme="minorHAnsi"/>
          <w:color w:val="06038D"/>
        </w:rPr>
        <w:t>?</w:t>
      </w:r>
      <w:bookmarkEnd w:id="4"/>
    </w:p>
    <w:p w14:paraId="079E271A" w14:textId="5473A775" w:rsidR="00E33E87" w:rsidRPr="0039591D" w:rsidRDefault="00D365DA" w:rsidP="0039591D">
      <w:pPr>
        <w:jc w:val="both"/>
        <w:rPr>
          <w:color w:val="4C4C4C"/>
          <w:sz w:val="24"/>
          <w:szCs w:val="24"/>
        </w:rPr>
      </w:pPr>
      <w:r>
        <w:rPr>
          <w:color w:val="4C4C4C"/>
          <w:sz w:val="24"/>
          <w:szCs w:val="24"/>
        </w:rPr>
        <w:t>A relação do</w:t>
      </w:r>
      <w:r w:rsidRPr="0039591D">
        <w:rPr>
          <w:color w:val="4C4C4C"/>
          <w:sz w:val="24"/>
          <w:szCs w:val="24"/>
        </w:rPr>
        <w:t xml:space="preserve">s documentos </w:t>
      </w:r>
      <w:r>
        <w:rPr>
          <w:color w:val="4C4C4C"/>
          <w:sz w:val="24"/>
          <w:szCs w:val="24"/>
        </w:rPr>
        <w:t xml:space="preserve">exigidos </w:t>
      </w:r>
      <w:r w:rsidRPr="0039591D">
        <w:rPr>
          <w:color w:val="4C4C4C"/>
          <w:sz w:val="24"/>
          <w:szCs w:val="24"/>
        </w:rPr>
        <w:t>pode</w:t>
      </w:r>
      <w:r w:rsidR="003B41E7" w:rsidRPr="0039591D">
        <w:rPr>
          <w:color w:val="4C4C4C"/>
          <w:sz w:val="24"/>
          <w:szCs w:val="24"/>
        </w:rPr>
        <w:t xml:space="preserve"> ser encontrad</w:t>
      </w:r>
      <w:r>
        <w:rPr>
          <w:color w:val="4C4C4C"/>
          <w:sz w:val="24"/>
          <w:szCs w:val="24"/>
        </w:rPr>
        <w:t>a</w:t>
      </w:r>
      <w:r w:rsidR="003B41E7" w:rsidRPr="0039591D">
        <w:rPr>
          <w:color w:val="4C4C4C"/>
          <w:sz w:val="24"/>
          <w:szCs w:val="24"/>
        </w:rPr>
        <w:t xml:space="preserve"> no </w:t>
      </w:r>
      <w:r w:rsidR="0039591D">
        <w:rPr>
          <w:color w:val="4C4C4C"/>
          <w:sz w:val="24"/>
          <w:szCs w:val="24"/>
        </w:rPr>
        <w:t>S</w:t>
      </w:r>
      <w:r w:rsidR="003B41E7" w:rsidRPr="0039591D">
        <w:rPr>
          <w:color w:val="4C4C4C"/>
          <w:sz w:val="24"/>
          <w:szCs w:val="24"/>
        </w:rPr>
        <w:t xml:space="preserve">ubmódulo 1.2 </w:t>
      </w:r>
      <w:r w:rsidR="0039591D">
        <w:rPr>
          <w:color w:val="4C4C4C"/>
          <w:sz w:val="24"/>
          <w:szCs w:val="24"/>
        </w:rPr>
        <w:t xml:space="preserve">– Cadastro de Agentes, </w:t>
      </w:r>
      <w:r w:rsidR="003B41E7" w:rsidRPr="0039591D">
        <w:rPr>
          <w:color w:val="4C4C4C"/>
          <w:sz w:val="24"/>
          <w:szCs w:val="24"/>
        </w:rPr>
        <w:t xml:space="preserve">dos </w:t>
      </w:r>
      <w:r w:rsidR="0039591D">
        <w:rPr>
          <w:color w:val="4C4C4C"/>
          <w:sz w:val="24"/>
          <w:szCs w:val="24"/>
        </w:rPr>
        <w:t>P</w:t>
      </w:r>
      <w:r w:rsidR="003B41E7" w:rsidRPr="0039591D">
        <w:rPr>
          <w:color w:val="4C4C4C"/>
          <w:sz w:val="24"/>
          <w:szCs w:val="24"/>
        </w:rPr>
        <w:t xml:space="preserve">rocedimentos de </w:t>
      </w:r>
      <w:r w:rsidR="0039591D">
        <w:rPr>
          <w:color w:val="4C4C4C"/>
          <w:sz w:val="24"/>
          <w:szCs w:val="24"/>
        </w:rPr>
        <w:t>C</w:t>
      </w:r>
      <w:r w:rsidR="003B41E7" w:rsidRPr="0039591D">
        <w:rPr>
          <w:color w:val="4C4C4C"/>
          <w:sz w:val="24"/>
          <w:szCs w:val="24"/>
        </w:rPr>
        <w:t>omercialização “PdC”, mais especificamente, no item 4, descritivo “Documentos específicos para alteração no controle societário”</w:t>
      </w:r>
      <w:r w:rsidR="00A02600" w:rsidRPr="0039591D">
        <w:rPr>
          <w:color w:val="4C4C4C"/>
          <w:sz w:val="24"/>
          <w:szCs w:val="24"/>
        </w:rPr>
        <w:t>.</w:t>
      </w:r>
    </w:p>
    <w:p w14:paraId="73EC0626" w14:textId="14152442" w:rsidR="00D365DA" w:rsidRDefault="00D365DA" w:rsidP="00D365DA">
      <w:pPr>
        <w:pStyle w:val="Ttulo2"/>
        <w:rPr>
          <w:rFonts w:asciiTheme="minorHAnsi" w:hAnsiTheme="minorHAnsi" w:cstheme="minorHAnsi"/>
          <w:color w:val="06038D"/>
          <w:sz w:val="28"/>
          <w:szCs w:val="28"/>
        </w:rPr>
      </w:pPr>
      <w:bookmarkStart w:id="5" w:name="_Toc187318015"/>
      <w:bookmarkStart w:id="6" w:name="_Toc187159871"/>
      <w:r>
        <w:rPr>
          <w:rFonts w:asciiTheme="minorHAnsi" w:hAnsiTheme="minorHAnsi" w:cstheme="minorHAnsi"/>
          <w:color w:val="06038D"/>
          <w:sz w:val="28"/>
          <w:szCs w:val="28"/>
        </w:rPr>
        <w:t xml:space="preserve">2.2 </w:t>
      </w:r>
      <w:r w:rsidRPr="00B73BCD">
        <w:rPr>
          <w:rFonts w:asciiTheme="minorHAnsi" w:hAnsiTheme="minorHAnsi" w:cstheme="minorHAnsi"/>
          <w:color w:val="06038D"/>
          <w:sz w:val="28"/>
          <w:szCs w:val="28"/>
        </w:rPr>
        <w:t>Período d</w:t>
      </w:r>
      <w:r w:rsidR="00C80AC5">
        <w:rPr>
          <w:rFonts w:asciiTheme="minorHAnsi" w:hAnsiTheme="minorHAnsi" w:cstheme="minorHAnsi"/>
          <w:color w:val="06038D"/>
          <w:sz w:val="28"/>
          <w:szCs w:val="28"/>
        </w:rPr>
        <w:t>e envio das informações para alteração societária</w:t>
      </w:r>
      <w:bookmarkEnd w:id="5"/>
      <w:bookmarkEnd w:id="6"/>
    </w:p>
    <w:p w14:paraId="37E85CDA" w14:textId="77777777" w:rsidR="004B3FA3" w:rsidRPr="004B3FA3" w:rsidRDefault="004B3FA3" w:rsidP="004B3FA3"/>
    <w:p w14:paraId="388DB099" w14:textId="2B5FE256" w:rsidR="00D365DA" w:rsidRPr="00D365DA" w:rsidRDefault="00D365DA" w:rsidP="00D365DA">
      <w:pPr>
        <w:pStyle w:val="Ttulo3"/>
        <w:rPr>
          <w:rFonts w:asciiTheme="minorHAnsi" w:hAnsiTheme="minorHAnsi" w:cstheme="minorHAnsi"/>
          <w:color w:val="06038D"/>
        </w:rPr>
      </w:pPr>
      <w:bookmarkStart w:id="7" w:name="_Toc187318016"/>
      <w:r w:rsidRPr="00D365DA">
        <w:rPr>
          <w:rFonts w:asciiTheme="minorHAnsi" w:hAnsiTheme="minorHAnsi" w:cstheme="minorHAnsi"/>
          <w:color w:val="06038D"/>
        </w:rPr>
        <w:t>2.</w:t>
      </w:r>
      <w:r>
        <w:rPr>
          <w:rFonts w:asciiTheme="minorHAnsi" w:hAnsiTheme="minorHAnsi" w:cstheme="minorHAnsi"/>
          <w:color w:val="06038D"/>
        </w:rPr>
        <w:t>2</w:t>
      </w:r>
      <w:r w:rsidRPr="00D365DA">
        <w:rPr>
          <w:rFonts w:asciiTheme="minorHAnsi" w:hAnsiTheme="minorHAnsi" w:cstheme="minorHAnsi"/>
          <w:color w:val="06038D"/>
        </w:rPr>
        <w:t>.</w:t>
      </w:r>
      <w:r>
        <w:rPr>
          <w:rFonts w:asciiTheme="minorHAnsi" w:hAnsiTheme="minorHAnsi" w:cstheme="minorHAnsi"/>
          <w:color w:val="06038D"/>
        </w:rPr>
        <w:t>1</w:t>
      </w:r>
      <w:r w:rsidRPr="00D365DA">
        <w:rPr>
          <w:rFonts w:asciiTheme="minorHAnsi" w:hAnsiTheme="minorHAnsi" w:cstheme="minorHAnsi"/>
          <w:color w:val="06038D"/>
        </w:rPr>
        <w:t xml:space="preserve"> – </w:t>
      </w:r>
      <w:r w:rsidR="004B3FA3">
        <w:rPr>
          <w:rFonts w:asciiTheme="minorHAnsi" w:hAnsiTheme="minorHAnsi" w:cstheme="minorHAnsi"/>
          <w:color w:val="06038D"/>
        </w:rPr>
        <w:t>Qual o prazo do</w:t>
      </w:r>
      <w:r w:rsidRPr="00D365DA">
        <w:rPr>
          <w:rFonts w:asciiTheme="minorHAnsi" w:hAnsiTheme="minorHAnsi" w:cstheme="minorHAnsi"/>
          <w:color w:val="06038D"/>
        </w:rPr>
        <w:t xml:space="preserve"> processo?</w:t>
      </w:r>
      <w:bookmarkEnd w:id="7"/>
    </w:p>
    <w:p w14:paraId="2EBCB40D" w14:textId="412DCCBF" w:rsidR="00D365DA" w:rsidRPr="004B3FA3" w:rsidRDefault="008171F9" w:rsidP="00D365DA">
      <w:pPr>
        <w:spacing w:line="240" w:lineRule="auto"/>
        <w:jc w:val="both"/>
        <w:rPr>
          <w:color w:val="4C4C4C"/>
          <w:sz w:val="24"/>
          <w:szCs w:val="24"/>
        </w:rPr>
      </w:pPr>
      <w:r>
        <w:rPr>
          <w:color w:val="4C4C4C"/>
          <w:sz w:val="24"/>
          <w:szCs w:val="24"/>
        </w:rPr>
        <w:t xml:space="preserve">O prazo pode variar de acordo com o início do pedido realizado pelo agente e a aprovação de todos os documentos pela Câmara. </w:t>
      </w:r>
      <w:r w:rsidR="00D365DA" w:rsidRPr="004B3FA3">
        <w:rPr>
          <w:color w:val="4C4C4C"/>
          <w:sz w:val="24"/>
          <w:szCs w:val="24"/>
        </w:rPr>
        <w:t xml:space="preserve">Conforme regulação vigente, a CCEE possui 5 dias úteis para análise dos requisitos. </w:t>
      </w:r>
      <w:r w:rsidR="006672F7">
        <w:rPr>
          <w:color w:val="4C4C4C"/>
          <w:sz w:val="24"/>
          <w:szCs w:val="24"/>
        </w:rPr>
        <w:t xml:space="preserve">Após a validação e aprovação de todos os documentos, </w:t>
      </w:r>
      <w:r w:rsidR="00D365DA" w:rsidRPr="004B3FA3">
        <w:rPr>
          <w:color w:val="4C4C4C"/>
          <w:sz w:val="24"/>
          <w:szCs w:val="24"/>
        </w:rPr>
        <w:t>a CCEE procederá emitindo um parecer destinado à Aneel em até 10 dias corridos.</w:t>
      </w:r>
    </w:p>
    <w:p w14:paraId="185421BB" w14:textId="7983444C" w:rsidR="00D365DA" w:rsidRPr="004B3FA3" w:rsidRDefault="008F1923" w:rsidP="00D365DA">
      <w:pPr>
        <w:spacing w:line="240" w:lineRule="auto"/>
        <w:jc w:val="both"/>
        <w:rPr>
          <w:color w:val="4C4C4C"/>
          <w:sz w:val="24"/>
          <w:szCs w:val="24"/>
        </w:rPr>
      </w:pPr>
      <w:r>
        <w:rPr>
          <w:color w:val="4C4C4C"/>
          <w:sz w:val="24"/>
          <w:szCs w:val="24"/>
        </w:rPr>
        <w:t>Posteriormente</w:t>
      </w:r>
      <w:r w:rsidR="00D365DA" w:rsidRPr="004B3FA3">
        <w:rPr>
          <w:color w:val="4C4C4C"/>
          <w:sz w:val="24"/>
          <w:szCs w:val="24"/>
        </w:rPr>
        <w:t>, o agente deverá aguardar eventual comunicação da agência reguladora acerca da aprovação para</w:t>
      </w:r>
      <w:r w:rsidR="00C80AC5">
        <w:rPr>
          <w:color w:val="4C4C4C"/>
          <w:sz w:val="24"/>
          <w:szCs w:val="24"/>
        </w:rPr>
        <w:t xml:space="preserve"> seguir com o</w:t>
      </w:r>
      <w:r w:rsidR="00D365DA" w:rsidRPr="004B3FA3">
        <w:rPr>
          <w:color w:val="4C4C4C"/>
          <w:sz w:val="24"/>
          <w:szCs w:val="24"/>
        </w:rPr>
        <w:t xml:space="preserve"> registro da alteração societária</w:t>
      </w:r>
      <w:r w:rsidR="00C80AC5">
        <w:rPr>
          <w:color w:val="4C4C4C"/>
          <w:sz w:val="24"/>
          <w:szCs w:val="24"/>
        </w:rPr>
        <w:t xml:space="preserve"> no órgão competente</w:t>
      </w:r>
      <w:r w:rsidR="00D365DA" w:rsidRPr="004B3FA3">
        <w:rPr>
          <w:color w:val="4C4C4C"/>
          <w:sz w:val="24"/>
          <w:szCs w:val="24"/>
        </w:rPr>
        <w:t>.</w:t>
      </w:r>
    </w:p>
    <w:p w14:paraId="3902452C" w14:textId="3A202210" w:rsidR="00C034F5" w:rsidRPr="008F1923" w:rsidRDefault="00E57409" w:rsidP="008F1923">
      <w:pPr>
        <w:pStyle w:val="Ttulo3"/>
        <w:rPr>
          <w:rFonts w:asciiTheme="minorHAnsi" w:hAnsiTheme="minorHAnsi" w:cstheme="minorHAnsi"/>
          <w:color w:val="06038D"/>
        </w:rPr>
      </w:pPr>
      <w:bookmarkStart w:id="8" w:name="_Toc187318017"/>
      <w:r w:rsidRPr="008F1923">
        <w:rPr>
          <w:rFonts w:asciiTheme="minorHAnsi" w:hAnsiTheme="minorHAnsi" w:cstheme="minorHAnsi"/>
          <w:color w:val="06038D"/>
        </w:rPr>
        <w:t xml:space="preserve">2.1.3 – </w:t>
      </w:r>
      <w:r w:rsidR="008F1923">
        <w:rPr>
          <w:rFonts w:asciiTheme="minorHAnsi" w:hAnsiTheme="minorHAnsi" w:cstheme="minorHAnsi"/>
          <w:color w:val="06038D"/>
        </w:rPr>
        <w:t>Como</w:t>
      </w:r>
      <w:r w:rsidR="0001516B">
        <w:rPr>
          <w:rFonts w:asciiTheme="minorHAnsi" w:hAnsiTheme="minorHAnsi" w:cstheme="minorHAnsi"/>
          <w:color w:val="06038D"/>
        </w:rPr>
        <w:t xml:space="preserve"> eu realizado o envio d</w:t>
      </w:r>
      <w:r w:rsidR="003B41E7" w:rsidRPr="008F1923">
        <w:rPr>
          <w:rFonts w:asciiTheme="minorHAnsi" w:hAnsiTheme="minorHAnsi" w:cstheme="minorHAnsi"/>
          <w:color w:val="06038D"/>
        </w:rPr>
        <w:t>as informações</w:t>
      </w:r>
      <w:r w:rsidRPr="008F1923">
        <w:rPr>
          <w:rFonts w:asciiTheme="minorHAnsi" w:hAnsiTheme="minorHAnsi" w:cstheme="minorHAnsi"/>
          <w:color w:val="06038D"/>
        </w:rPr>
        <w:t>?</w:t>
      </w:r>
      <w:bookmarkEnd w:id="8"/>
      <w:r w:rsidR="00F60A74" w:rsidRPr="008F1923">
        <w:rPr>
          <w:rFonts w:asciiTheme="minorHAnsi" w:hAnsiTheme="minorHAnsi" w:cstheme="minorHAnsi"/>
          <w:color w:val="06038D"/>
        </w:rPr>
        <w:t xml:space="preserve"> </w:t>
      </w:r>
    </w:p>
    <w:p w14:paraId="770F94C6" w14:textId="20EBB4E2" w:rsidR="003B41E7" w:rsidRPr="0001516B" w:rsidRDefault="003B41E7" w:rsidP="00041506">
      <w:pPr>
        <w:spacing w:line="240" w:lineRule="auto"/>
        <w:jc w:val="both"/>
        <w:rPr>
          <w:color w:val="4C4C4C"/>
          <w:sz w:val="24"/>
          <w:szCs w:val="24"/>
        </w:rPr>
      </w:pPr>
      <w:r w:rsidRPr="0001516B">
        <w:rPr>
          <w:color w:val="4C4C4C"/>
          <w:sz w:val="24"/>
          <w:szCs w:val="24"/>
        </w:rPr>
        <w:t xml:space="preserve">Os documentos devem ser enviados via e-mail ao endereço </w:t>
      </w:r>
      <w:hyperlink r:id="rId9" w:history="1">
        <w:r w:rsidRPr="0001516B">
          <w:rPr>
            <w:b/>
            <w:bCs/>
            <w:i/>
            <w:iCs/>
            <w:color w:val="4C4C4C"/>
            <w:sz w:val="24"/>
            <w:szCs w:val="24"/>
          </w:rPr>
          <w:t>atendimento@ccee.org.br</w:t>
        </w:r>
      </w:hyperlink>
      <w:r w:rsidRPr="0001516B">
        <w:rPr>
          <w:color w:val="4C4C4C"/>
          <w:sz w:val="24"/>
          <w:szCs w:val="24"/>
        </w:rPr>
        <w:t>, em seguida, a CCEE procederá pela análise e retornará ao agente</w:t>
      </w:r>
      <w:r w:rsidR="003D09DF" w:rsidRPr="0001516B">
        <w:rPr>
          <w:color w:val="4C4C4C"/>
          <w:sz w:val="24"/>
          <w:szCs w:val="24"/>
        </w:rPr>
        <w:t xml:space="preserve"> com eventuais pendências para complementação, ou com a aprovação.</w:t>
      </w:r>
    </w:p>
    <w:p w14:paraId="1EF820D8" w14:textId="77777777" w:rsidR="00C034F5" w:rsidRDefault="00C034F5" w:rsidP="00041506">
      <w:pPr>
        <w:spacing w:line="240" w:lineRule="auto"/>
        <w:jc w:val="both"/>
      </w:pPr>
    </w:p>
    <w:p w14:paraId="4D7F0FF8" w14:textId="371F96AE" w:rsidR="00B92E3C" w:rsidRDefault="00B92E3C" w:rsidP="00B92E3C">
      <w:pPr>
        <w:pStyle w:val="Ttulo2"/>
        <w:rPr>
          <w:rFonts w:asciiTheme="minorHAnsi" w:hAnsiTheme="minorHAnsi" w:cstheme="minorHAnsi"/>
          <w:color w:val="06038D"/>
          <w:sz w:val="28"/>
          <w:szCs w:val="28"/>
        </w:rPr>
      </w:pPr>
      <w:bookmarkStart w:id="9" w:name="_Toc187159876"/>
      <w:bookmarkStart w:id="10" w:name="_Toc187318018"/>
      <w:r>
        <w:rPr>
          <w:rFonts w:asciiTheme="minorHAnsi" w:hAnsiTheme="minorHAnsi" w:cstheme="minorHAnsi"/>
          <w:color w:val="06038D"/>
          <w:sz w:val="28"/>
          <w:szCs w:val="28"/>
        </w:rPr>
        <w:lastRenderedPageBreak/>
        <w:t xml:space="preserve">2.3 </w:t>
      </w:r>
      <w:r w:rsidRPr="00B73BCD">
        <w:rPr>
          <w:rFonts w:asciiTheme="minorHAnsi" w:hAnsiTheme="minorHAnsi" w:cstheme="minorHAnsi"/>
          <w:color w:val="06038D"/>
          <w:sz w:val="28"/>
          <w:szCs w:val="28"/>
        </w:rPr>
        <w:t xml:space="preserve">Conclusão da </w:t>
      </w:r>
      <w:bookmarkEnd w:id="9"/>
      <w:r w:rsidR="001F1695">
        <w:rPr>
          <w:rFonts w:asciiTheme="minorHAnsi" w:hAnsiTheme="minorHAnsi" w:cstheme="minorHAnsi"/>
          <w:color w:val="06038D"/>
          <w:sz w:val="28"/>
          <w:szCs w:val="28"/>
        </w:rPr>
        <w:t>alteração societária</w:t>
      </w:r>
      <w:bookmarkEnd w:id="10"/>
    </w:p>
    <w:p w14:paraId="6C2E7658" w14:textId="77777777" w:rsidR="00B92E3C" w:rsidRDefault="00B92E3C" w:rsidP="00C034F5">
      <w:pPr>
        <w:pStyle w:val="Ttulo3"/>
        <w:spacing w:line="240" w:lineRule="auto"/>
        <w:ind w:left="709"/>
        <w:jc w:val="both"/>
      </w:pPr>
    </w:p>
    <w:p w14:paraId="22E0FB98" w14:textId="39386832" w:rsidR="003D09DF" w:rsidRPr="00B92E3C" w:rsidRDefault="662A7876" w:rsidP="00B92E3C">
      <w:pPr>
        <w:pStyle w:val="Ttulo3"/>
        <w:rPr>
          <w:rFonts w:asciiTheme="minorHAnsi" w:hAnsiTheme="minorHAnsi" w:cstheme="minorHAnsi"/>
          <w:color w:val="06038D"/>
        </w:rPr>
      </w:pPr>
      <w:bookmarkStart w:id="11" w:name="_Toc187318019"/>
      <w:r w:rsidRPr="00B92E3C">
        <w:rPr>
          <w:rFonts w:asciiTheme="minorHAnsi" w:hAnsiTheme="minorHAnsi" w:cstheme="minorHAnsi"/>
          <w:color w:val="06038D"/>
        </w:rPr>
        <w:t>2.</w:t>
      </w:r>
      <w:r w:rsidR="00B92E3C">
        <w:rPr>
          <w:rFonts w:asciiTheme="minorHAnsi" w:hAnsiTheme="minorHAnsi" w:cstheme="minorHAnsi"/>
          <w:color w:val="06038D"/>
        </w:rPr>
        <w:t>3.1</w:t>
      </w:r>
      <w:r w:rsidRPr="00B92E3C">
        <w:rPr>
          <w:rFonts w:asciiTheme="minorHAnsi" w:hAnsiTheme="minorHAnsi" w:cstheme="minorHAnsi"/>
          <w:color w:val="06038D"/>
        </w:rPr>
        <w:t xml:space="preserve"> </w:t>
      </w:r>
      <w:r w:rsidR="003D09DF" w:rsidRPr="00B92E3C">
        <w:rPr>
          <w:rFonts w:asciiTheme="minorHAnsi" w:hAnsiTheme="minorHAnsi" w:cstheme="minorHAnsi"/>
          <w:color w:val="06038D"/>
        </w:rPr>
        <w:t>–</w:t>
      </w:r>
      <w:r w:rsidR="35C78D7E" w:rsidRPr="00B92E3C">
        <w:rPr>
          <w:rFonts w:asciiTheme="minorHAnsi" w:hAnsiTheme="minorHAnsi" w:cstheme="minorHAnsi"/>
          <w:color w:val="06038D"/>
        </w:rPr>
        <w:t xml:space="preserve"> </w:t>
      </w:r>
      <w:r w:rsidR="003D09DF" w:rsidRPr="00B92E3C">
        <w:rPr>
          <w:rFonts w:asciiTheme="minorHAnsi" w:hAnsiTheme="minorHAnsi" w:cstheme="minorHAnsi"/>
          <w:color w:val="06038D"/>
        </w:rPr>
        <w:t>Quando posso registrar a alteração</w:t>
      </w:r>
      <w:r w:rsidR="00B92E3C">
        <w:rPr>
          <w:rFonts w:asciiTheme="minorHAnsi" w:hAnsiTheme="minorHAnsi" w:cstheme="minorHAnsi"/>
          <w:color w:val="06038D"/>
        </w:rPr>
        <w:t xml:space="preserve"> societária</w:t>
      </w:r>
      <w:r w:rsidR="003D09DF" w:rsidRPr="00B92E3C">
        <w:rPr>
          <w:rFonts w:asciiTheme="minorHAnsi" w:hAnsiTheme="minorHAnsi" w:cstheme="minorHAnsi"/>
          <w:color w:val="06038D"/>
        </w:rPr>
        <w:t xml:space="preserve"> nos órgãos competentes</w:t>
      </w:r>
      <w:r w:rsidRPr="00B92E3C">
        <w:rPr>
          <w:rFonts w:asciiTheme="minorHAnsi" w:hAnsiTheme="minorHAnsi" w:cstheme="minorHAnsi"/>
          <w:color w:val="06038D"/>
        </w:rPr>
        <w:t>?</w:t>
      </w:r>
      <w:bookmarkEnd w:id="11"/>
    </w:p>
    <w:p w14:paraId="6792A193" w14:textId="0CCABFEB" w:rsidR="003D09DF" w:rsidRPr="00301F9E" w:rsidRDefault="00D53F19" w:rsidP="00301F9E">
      <w:pPr>
        <w:spacing w:line="240" w:lineRule="auto"/>
        <w:jc w:val="both"/>
        <w:rPr>
          <w:color w:val="4C4C4C"/>
          <w:sz w:val="24"/>
          <w:szCs w:val="24"/>
        </w:rPr>
      </w:pPr>
      <w:r>
        <w:rPr>
          <w:color w:val="4C4C4C"/>
          <w:sz w:val="24"/>
          <w:szCs w:val="24"/>
        </w:rPr>
        <w:t>De acordo com o</w:t>
      </w:r>
      <w:r w:rsidR="003D09DF" w:rsidRPr="00301F9E">
        <w:rPr>
          <w:color w:val="4C4C4C"/>
          <w:sz w:val="24"/>
          <w:szCs w:val="24"/>
        </w:rPr>
        <w:t xml:space="preserve"> art. 9º da R</w:t>
      </w:r>
      <w:r w:rsidR="00B92E3C" w:rsidRPr="00301F9E">
        <w:rPr>
          <w:color w:val="4C4C4C"/>
          <w:sz w:val="24"/>
          <w:szCs w:val="24"/>
        </w:rPr>
        <w:t>EN</w:t>
      </w:r>
      <w:r w:rsidR="003D09DF" w:rsidRPr="00301F9E">
        <w:rPr>
          <w:color w:val="4C4C4C"/>
          <w:sz w:val="24"/>
          <w:szCs w:val="24"/>
        </w:rPr>
        <w:t xml:space="preserve"> Aneel nº 1.011/2022</w:t>
      </w:r>
      <w:r>
        <w:rPr>
          <w:color w:val="4C4C4C"/>
          <w:sz w:val="24"/>
          <w:szCs w:val="24"/>
        </w:rPr>
        <w:t>,</w:t>
      </w:r>
      <w:r w:rsidR="003D09DF" w:rsidRPr="00301F9E">
        <w:rPr>
          <w:color w:val="4C4C4C"/>
          <w:sz w:val="24"/>
          <w:szCs w:val="24"/>
        </w:rPr>
        <w:t xml:space="preserve"> o agente deve obter anuência prévia à alteração societária, desse modo, é necessário registrar a mudança apenas </w:t>
      </w:r>
      <w:r>
        <w:rPr>
          <w:color w:val="4C4C4C"/>
          <w:sz w:val="24"/>
          <w:szCs w:val="24"/>
        </w:rPr>
        <w:t>após</w:t>
      </w:r>
      <w:r w:rsidR="003D09DF" w:rsidRPr="00301F9E">
        <w:rPr>
          <w:color w:val="4C4C4C"/>
          <w:sz w:val="24"/>
          <w:szCs w:val="24"/>
        </w:rPr>
        <w:t xml:space="preserve"> o aval da </w:t>
      </w:r>
      <w:r w:rsidR="00A5288B">
        <w:rPr>
          <w:color w:val="4C4C4C"/>
          <w:sz w:val="24"/>
          <w:szCs w:val="24"/>
        </w:rPr>
        <w:t xml:space="preserve">CCEE e </w:t>
      </w:r>
      <w:r w:rsidR="003D09DF" w:rsidRPr="00301F9E">
        <w:rPr>
          <w:color w:val="4C4C4C"/>
          <w:sz w:val="24"/>
          <w:szCs w:val="24"/>
        </w:rPr>
        <w:t>agência reguladora.</w:t>
      </w:r>
    </w:p>
    <w:p w14:paraId="08F078B9" w14:textId="74A62726" w:rsidR="003D09DF" w:rsidRPr="003D09DF" w:rsidRDefault="001130D6" w:rsidP="00224BCB">
      <w:pPr>
        <w:pStyle w:val="Ttulo3"/>
      </w:pPr>
      <w:bookmarkStart w:id="12" w:name="_Toc187318020"/>
      <w:r w:rsidRPr="00224BCB">
        <w:rPr>
          <w:rFonts w:asciiTheme="minorHAnsi" w:hAnsiTheme="minorHAnsi" w:cstheme="minorHAnsi"/>
          <w:color w:val="06038D"/>
        </w:rPr>
        <w:t>2.1.</w:t>
      </w:r>
      <w:r w:rsidR="00C034F5" w:rsidRPr="00224BCB">
        <w:rPr>
          <w:rFonts w:asciiTheme="minorHAnsi" w:hAnsiTheme="minorHAnsi" w:cstheme="minorHAnsi"/>
          <w:color w:val="06038D"/>
        </w:rPr>
        <w:t>6</w:t>
      </w:r>
      <w:r w:rsidRPr="00224BCB">
        <w:rPr>
          <w:rFonts w:asciiTheme="minorHAnsi" w:hAnsiTheme="minorHAnsi" w:cstheme="minorHAnsi"/>
          <w:color w:val="06038D"/>
        </w:rPr>
        <w:t xml:space="preserve"> </w:t>
      </w:r>
      <w:r w:rsidR="00E42353" w:rsidRPr="00224BCB">
        <w:rPr>
          <w:rFonts w:asciiTheme="minorHAnsi" w:hAnsiTheme="minorHAnsi" w:cstheme="minorHAnsi"/>
          <w:color w:val="06038D"/>
        </w:rPr>
        <w:t xml:space="preserve">- </w:t>
      </w:r>
      <w:r w:rsidRPr="00224BCB">
        <w:rPr>
          <w:rFonts w:asciiTheme="minorHAnsi" w:hAnsiTheme="minorHAnsi" w:cstheme="minorHAnsi"/>
          <w:color w:val="06038D"/>
        </w:rPr>
        <w:t xml:space="preserve">O que acontece caso eu não </w:t>
      </w:r>
      <w:r w:rsidR="003D09DF" w:rsidRPr="00224BCB">
        <w:rPr>
          <w:rFonts w:asciiTheme="minorHAnsi" w:hAnsiTheme="minorHAnsi" w:cstheme="minorHAnsi"/>
          <w:color w:val="06038D"/>
        </w:rPr>
        <w:t>realize o processo antes do registro</w:t>
      </w:r>
      <w:r w:rsidRPr="00224BCB">
        <w:rPr>
          <w:rFonts w:asciiTheme="minorHAnsi" w:hAnsiTheme="minorHAnsi" w:cstheme="minorHAnsi"/>
          <w:color w:val="06038D"/>
        </w:rPr>
        <w:t>?</w:t>
      </w:r>
      <w:bookmarkEnd w:id="12"/>
      <w:r w:rsidRPr="00224BCB">
        <w:rPr>
          <w:rFonts w:asciiTheme="minorHAnsi" w:hAnsiTheme="minorHAnsi" w:cstheme="minorHAnsi"/>
          <w:color w:val="06038D"/>
        </w:rPr>
        <w:t xml:space="preserve"> </w:t>
      </w:r>
    </w:p>
    <w:p w14:paraId="43DE2DBD" w14:textId="5A25E9B8" w:rsidR="00284668" w:rsidRPr="00224BCB" w:rsidRDefault="003D09DF" w:rsidP="00224BCB">
      <w:pPr>
        <w:spacing w:line="240" w:lineRule="auto"/>
        <w:jc w:val="both"/>
        <w:rPr>
          <w:color w:val="4C4C4C"/>
          <w:sz w:val="24"/>
          <w:szCs w:val="24"/>
        </w:rPr>
      </w:pPr>
      <w:r w:rsidRPr="00224BCB">
        <w:rPr>
          <w:color w:val="4C4C4C"/>
          <w:sz w:val="24"/>
          <w:szCs w:val="24"/>
        </w:rPr>
        <w:t>O parágrafo único do art. 9º explica que aqueles que não realizarem o processo sofrerão as penalidades cabíveis de acordo com a regulação vigente, podendo até mesmo perder sua outorga para comercializar energia elétrica.</w:t>
      </w:r>
    </w:p>
    <w:sectPr w:rsidR="00284668" w:rsidRPr="00224BCB" w:rsidSect="00E92A43">
      <w:footerReference w:type="default" r:id="rId10"/>
      <w:pgSz w:w="11906" w:h="16838"/>
      <w:pgMar w:top="1701" w:right="1134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B0FC" w14:textId="77777777" w:rsidR="004D5708" w:rsidRDefault="004D5708" w:rsidP="003A7E46">
      <w:pPr>
        <w:spacing w:after="0" w:line="240" w:lineRule="auto"/>
      </w:pPr>
      <w:r>
        <w:separator/>
      </w:r>
    </w:p>
  </w:endnote>
  <w:endnote w:type="continuationSeparator" w:id="0">
    <w:p w14:paraId="5FE14114" w14:textId="77777777" w:rsidR="004D5708" w:rsidRDefault="004D5708" w:rsidP="003A7E46">
      <w:pPr>
        <w:spacing w:after="0" w:line="240" w:lineRule="auto"/>
      </w:pPr>
      <w:r>
        <w:continuationSeparator/>
      </w:r>
    </w:p>
  </w:endnote>
  <w:endnote w:type="continuationNotice" w:id="1">
    <w:p w14:paraId="6259C802" w14:textId="77777777" w:rsidR="004D5708" w:rsidRDefault="004D57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8A5E" w14:textId="54AAA758" w:rsidR="00A06FAF" w:rsidRPr="00F83410" w:rsidRDefault="00000000">
    <w:pPr>
      <w:pStyle w:val="Rodap"/>
      <w:jc w:val="right"/>
      <w:rPr>
        <w:color w:val="06038D"/>
      </w:rPr>
    </w:pPr>
    <w:sdt>
      <w:sdtPr>
        <w:id w:val="5778019"/>
        <w:docPartObj>
          <w:docPartGallery w:val="Page Numbers (Bottom of Page)"/>
          <w:docPartUnique/>
        </w:docPartObj>
      </w:sdtPr>
      <w:sdtEndPr>
        <w:rPr>
          <w:color w:val="06038D"/>
        </w:rPr>
      </w:sdtEndPr>
      <w:sdtContent>
        <w:r w:rsidR="003A5E08" w:rsidRPr="00F83410">
          <w:rPr>
            <w:color w:val="06038D"/>
          </w:rPr>
          <w:fldChar w:fldCharType="begin"/>
        </w:r>
        <w:r w:rsidR="003A5E08" w:rsidRPr="00F83410">
          <w:rPr>
            <w:color w:val="06038D"/>
          </w:rPr>
          <w:instrText xml:space="preserve"> PAGE   \* MERGEFORMAT </w:instrText>
        </w:r>
        <w:r w:rsidR="003A5E08" w:rsidRPr="00F83410">
          <w:rPr>
            <w:color w:val="06038D"/>
          </w:rPr>
          <w:fldChar w:fldCharType="separate"/>
        </w:r>
        <w:r w:rsidR="00E000A1" w:rsidRPr="00F83410">
          <w:rPr>
            <w:noProof/>
            <w:color w:val="06038D"/>
          </w:rPr>
          <w:t>1</w:t>
        </w:r>
        <w:r w:rsidR="003A5E08" w:rsidRPr="00F83410">
          <w:rPr>
            <w:noProof/>
            <w:color w:val="06038D"/>
          </w:rPr>
          <w:fldChar w:fldCharType="end"/>
        </w:r>
      </w:sdtContent>
    </w:sdt>
  </w:p>
  <w:p w14:paraId="189C3E1F" w14:textId="77777777" w:rsidR="00A06FAF" w:rsidRDefault="00A06F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0C3B" w14:textId="77777777" w:rsidR="004D5708" w:rsidRDefault="004D5708" w:rsidP="003A7E46">
      <w:pPr>
        <w:spacing w:after="0" w:line="240" w:lineRule="auto"/>
      </w:pPr>
      <w:r>
        <w:separator/>
      </w:r>
    </w:p>
  </w:footnote>
  <w:footnote w:type="continuationSeparator" w:id="0">
    <w:p w14:paraId="4B30AED8" w14:textId="77777777" w:rsidR="004D5708" w:rsidRDefault="004D5708" w:rsidP="003A7E46">
      <w:pPr>
        <w:spacing w:after="0" w:line="240" w:lineRule="auto"/>
      </w:pPr>
      <w:r>
        <w:continuationSeparator/>
      </w:r>
    </w:p>
  </w:footnote>
  <w:footnote w:type="continuationNotice" w:id="1">
    <w:p w14:paraId="7B11CF0D" w14:textId="77777777" w:rsidR="004D5708" w:rsidRDefault="004D57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A44F" w14:textId="791BF555" w:rsidR="003A7E46" w:rsidRDefault="00F83410">
    <w:pPr>
      <w:pStyle w:val="Cabealho"/>
    </w:pPr>
    <w:r>
      <w:rPr>
        <w:noProof/>
        <w:lang w:val="en-US"/>
      </w:rPr>
      <w:drawing>
        <wp:inline distT="0" distB="0" distL="0" distR="0" wp14:anchorId="17452F5E" wp14:editId="09E9E7F6">
          <wp:extent cx="732692" cy="201463"/>
          <wp:effectExtent l="0" t="0" r="4445" b="1905"/>
          <wp:docPr id="6" name="Imagem 6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Ícone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9307" cy="241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46"/>
    <w:rsid w:val="00002863"/>
    <w:rsid w:val="0001516B"/>
    <w:rsid w:val="000409D6"/>
    <w:rsid w:val="00041506"/>
    <w:rsid w:val="00067EED"/>
    <w:rsid w:val="00081032"/>
    <w:rsid w:val="000D40D9"/>
    <w:rsid w:val="000E28A7"/>
    <w:rsid w:val="000E43D4"/>
    <w:rsid w:val="000E69FE"/>
    <w:rsid w:val="00103159"/>
    <w:rsid w:val="001130D6"/>
    <w:rsid w:val="0012263E"/>
    <w:rsid w:val="00123E05"/>
    <w:rsid w:val="00144551"/>
    <w:rsid w:val="00151D56"/>
    <w:rsid w:val="00151F87"/>
    <w:rsid w:val="00157473"/>
    <w:rsid w:val="001608E1"/>
    <w:rsid w:val="00167AFF"/>
    <w:rsid w:val="001B1E17"/>
    <w:rsid w:val="001B776F"/>
    <w:rsid w:val="001F1695"/>
    <w:rsid w:val="001F74FC"/>
    <w:rsid w:val="00210384"/>
    <w:rsid w:val="0021597C"/>
    <w:rsid w:val="00222500"/>
    <w:rsid w:val="00224BCB"/>
    <w:rsid w:val="0022547A"/>
    <w:rsid w:val="00252636"/>
    <w:rsid w:val="002608BC"/>
    <w:rsid w:val="00273E2E"/>
    <w:rsid w:val="002753DA"/>
    <w:rsid w:val="00283CBA"/>
    <w:rsid w:val="00284668"/>
    <w:rsid w:val="002A161E"/>
    <w:rsid w:val="002A31AC"/>
    <w:rsid w:val="002B7D9B"/>
    <w:rsid w:val="00301F9E"/>
    <w:rsid w:val="003201C1"/>
    <w:rsid w:val="003326CF"/>
    <w:rsid w:val="003344DB"/>
    <w:rsid w:val="003467B0"/>
    <w:rsid w:val="00366431"/>
    <w:rsid w:val="00375F17"/>
    <w:rsid w:val="00386F9C"/>
    <w:rsid w:val="0039591D"/>
    <w:rsid w:val="003A5E08"/>
    <w:rsid w:val="003A7E46"/>
    <w:rsid w:val="003B41E7"/>
    <w:rsid w:val="003D09DF"/>
    <w:rsid w:val="003D5F5B"/>
    <w:rsid w:val="003F2A90"/>
    <w:rsid w:val="003F461D"/>
    <w:rsid w:val="00404D64"/>
    <w:rsid w:val="00421E34"/>
    <w:rsid w:val="004267B4"/>
    <w:rsid w:val="00444E3C"/>
    <w:rsid w:val="004547E2"/>
    <w:rsid w:val="00454C0E"/>
    <w:rsid w:val="0046532A"/>
    <w:rsid w:val="00476F57"/>
    <w:rsid w:val="00496A17"/>
    <w:rsid w:val="00497395"/>
    <w:rsid w:val="004B3FA3"/>
    <w:rsid w:val="004B5948"/>
    <w:rsid w:val="004C78AD"/>
    <w:rsid w:val="004D5708"/>
    <w:rsid w:val="00533833"/>
    <w:rsid w:val="00553DB9"/>
    <w:rsid w:val="00567D6B"/>
    <w:rsid w:val="00590B15"/>
    <w:rsid w:val="00591ED5"/>
    <w:rsid w:val="00595D8B"/>
    <w:rsid w:val="005A3E38"/>
    <w:rsid w:val="005B69C1"/>
    <w:rsid w:val="005C4C31"/>
    <w:rsid w:val="005D191D"/>
    <w:rsid w:val="005E3667"/>
    <w:rsid w:val="006240C9"/>
    <w:rsid w:val="006548F6"/>
    <w:rsid w:val="00657E05"/>
    <w:rsid w:val="006672F7"/>
    <w:rsid w:val="006C66D4"/>
    <w:rsid w:val="006E76ED"/>
    <w:rsid w:val="006F422C"/>
    <w:rsid w:val="006F5142"/>
    <w:rsid w:val="00703168"/>
    <w:rsid w:val="007111DC"/>
    <w:rsid w:val="007244AF"/>
    <w:rsid w:val="007546AF"/>
    <w:rsid w:val="00763141"/>
    <w:rsid w:val="00763D25"/>
    <w:rsid w:val="00767EC3"/>
    <w:rsid w:val="007753B5"/>
    <w:rsid w:val="00781534"/>
    <w:rsid w:val="007836D9"/>
    <w:rsid w:val="007A7DA6"/>
    <w:rsid w:val="007B1D03"/>
    <w:rsid w:val="007B32AE"/>
    <w:rsid w:val="007C6A38"/>
    <w:rsid w:val="007F17F7"/>
    <w:rsid w:val="007F7BB4"/>
    <w:rsid w:val="008171F9"/>
    <w:rsid w:val="008179AF"/>
    <w:rsid w:val="00826ADA"/>
    <w:rsid w:val="00854D75"/>
    <w:rsid w:val="0087786A"/>
    <w:rsid w:val="00882789"/>
    <w:rsid w:val="0089313E"/>
    <w:rsid w:val="00893ED1"/>
    <w:rsid w:val="008B7E07"/>
    <w:rsid w:val="008C7F66"/>
    <w:rsid w:val="008F1923"/>
    <w:rsid w:val="008F46C9"/>
    <w:rsid w:val="00934ED2"/>
    <w:rsid w:val="009357DD"/>
    <w:rsid w:val="009558F4"/>
    <w:rsid w:val="009742EF"/>
    <w:rsid w:val="00992808"/>
    <w:rsid w:val="009B221C"/>
    <w:rsid w:val="009B7992"/>
    <w:rsid w:val="009C22D7"/>
    <w:rsid w:val="00A02600"/>
    <w:rsid w:val="00A06FAF"/>
    <w:rsid w:val="00A468E5"/>
    <w:rsid w:val="00A503B4"/>
    <w:rsid w:val="00A5288B"/>
    <w:rsid w:val="00A572FC"/>
    <w:rsid w:val="00A72BA9"/>
    <w:rsid w:val="00A74817"/>
    <w:rsid w:val="00A8306B"/>
    <w:rsid w:val="00AA015F"/>
    <w:rsid w:val="00AA31B9"/>
    <w:rsid w:val="00AD7625"/>
    <w:rsid w:val="00AE51EF"/>
    <w:rsid w:val="00AF0DEF"/>
    <w:rsid w:val="00B03837"/>
    <w:rsid w:val="00B15402"/>
    <w:rsid w:val="00B3001C"/>
    <w:rsid w:val="00B327BB"/>
    <w:rsid w:val="00B53F0C"/>
    <w:rsid w:val="00B57F3A"/>
    <w:rsid w:val="00B608D5"/>
    <w:rsid w:val="00B859E6"/>
    <w:rsid w:val="00B92E3C"/>
    <w:rsid w:val="00BA5292"/>
    <w:rsid w:val="00BC53D5"/>
    <w:rsid w:val="00BE46D4"/>
    <w:rsid w:val="00C011E0"/>
    <w:rsid w:val="00C02D22"/>
    <w:rsid w:val="00C034F5"/>
    <w:rsid w:val="00C071EA"/>
    <w:rsid w:val="00C12DFD"/>
    <w:rsid w:val="00C20E10"/>
    <w:rsid w:val="00C80AC5"/>
    <w:rsid w:val="00CB29F9"/>
    <w:rsid w:val="00CD039B"/>
    <w:rsid w:val="00CD3154"/>
    <w:rsid w:val="00CE61B2"/>
    <w:rsid w:val="00D113DF"/>
    <w:rsid w:val="00D27024"/>
    <w:rsid w:val="00D364CC"/>
    <w:rsid w:val="00D365DA"/>
    <w:rsid w:val="00D41E42"/>
    <w:rsid w:val="00D43706"/>
    <w:rsid w:val="00D4584F"/>
    <w:rsid w:val="00D53F19"/>
    <w:rsid w:val="00D74ADD"/>
    <w:rsid w:val="00D964E1"/>
    <w:rsid w:val="00D97915"/>
    <w:rsid w:val="00DA7450"/>
    <w:rsid w:val="00DB2CA3"/>
    <w:rsid w:val="00DC0D1C"/>
    <w:rsid w:val="00DC1E3E"/>
    <w:rsid w:val="00DE4B59"/>
    <w:rsid w:val="00E000A1"/>
    <w:rsid w:val="00E0121A"/>
    <w:rsid w:val="00E1205E"/>
    <w:rsid w:val="00E33E87"/>
    <w:rsid w:val="00E42353"/>
    <w:rsid w:val="00E439C8"/>
    <w:rsid w:val="00E57409"/>
    <w:rsid w:val="00E72B73"/>
    <w:rsid w:val="00E87F34"/>
    <w:rsid w:val="00E90A9C"/>
    <w:rsid w:val="00E92A43"/>
    <w:rsid w:val="00E92A53"/>
    <w:rsid w:val="00EC01F8"/>
    <w:rsid w:val="00EC1B61"/>
    <w:rsid w:val="00EC71F3"/>
    <w:rsid w:val="00EE1B7A"/>
    <w:rsid w:val="00EE5C86"/>
    <w:rsid w:val="00F1569E"/>
    <w:rsid w:val="00F55978"/>
    <w:rsid w:val="00F56F42"/>
    <w:rsid w:val="00F60A74"/>
    <w:rsid w:val="00F60FDF"/>
    <w:rsid w:val="00F774CA"/>
    <w:rsid w:val="00F82D24"/>
    <w:rsid w:val="00F83410"/>
    <w:rsid w:val="00FB5643"/>
    <w:rsid w:val="00FC47D6"/>
    <w:rsid w:val="00FE2FA1"/>
    <w:rsid w:val="00FF7C6D"/>
    <w:rsid w:val="0B6C2872"/>
    <w:rsid w:val="35C78D7E"/>
    <w:rsid w:val="47B22788"/>
    <w:rsid w:val="64D2623E"/>
    <w:rsid w:val="662A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EF78D0"/>
  <w15:docId w15:val="{A670CEE6-D6B0-4E15-A2FC-529CE217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F87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E33E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1F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33E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51F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151F87"/>
    <w:pPr>
      <w:spacing w:after="0" w:line="240" w:lineRule="auto"/>
    </w:pPr>
    <w:rPr>
      <w:rFonts w:ascii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3A7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E46"/>
    <w:rPr>
      <w:rFonts w:ascii="Calibri" w:hAnsi="Calibri"/>
    </w:rPr>
  </w:style>
  <w:style w:type="paragraph" w:styleId="Rodap">
    <w:name w:val="footer"/>
    <w:basedOn w:val="Normal"/>
    <w:link w:val="RodapChar"/>
    <w:uiPriority w:val="99"/>
    <w:unhideWhenUsed/>
    <w:rsid w:val="003A7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E46"/>
    <w:rPr>
      <w:rFonts w:ascii="Calibri" w:hAnsi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27B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27BB"/>
    <w:rPr>
      <w:rFonts w:ascii="Lucida Grande" w:hAnsi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E33E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E33E87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33E87"/>
    <w:pPr>
      <w:spacing w:after="100"/>
    </w:pPr>
  </w:style>
  <w:style w:type="character" w:styleId="Hyperlink">
    <w:name w:val="Hyperlink"/>
    <w:basedOn w:val="Fontepargpadro"/>
    <w:uiPriority w:val="99"/>
    <w:unhideWhenUsed/>
    <w:rsid w:val="00E33E87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E33E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1130D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1130D6"/>
    <w:pPr>
      <w:spacing w:after="100"/>
      <w:ind w:left="440"/>
    </w:pPr>
  </w:style>
  <w:style w:type="paragraph" w:styleId="Reviso">
    <w:name w:val="Revision"/>
    <w:hidden/>
    <w:uiPriority w:val="99"/>
    <w:semiHidden/>
    <w:rsid w:val="0046532A"/>
    <w:pPr>
      <w:spacing w:after="0" w:line="240" w:lineRule="auto"/>
    </w:pPr>
    <w:rPr>
      <w:rFonts w:ascii="Calibri" w:hAnsi="Calibri"/>
    </w:rPr>
  </w:style>
  <w:style w:type="character" w:styleId="MenoPendente">
    <w:name w:val="Unresolved Mention"/>
    <w:basedOn w:val="Fontepargpadro"/>
    <w:uiPriority w:val="99"/>
    <w:semiHidden/>
    <w:unhideWhenUsed/>
    <w:rsid w:val="003B4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tendimento@ccee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EB80E-BA00-42DB-BCFA-0E93089D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634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CCEE</Company>
  <LinksUpToDate>false</LinksUpToDate>
  <CharactersWithSpaces>4050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CCEE</dc:creator>
  <cp:keywords/>
  <dc:description/>
  <cp:lastModifiedBy>Higor Dias</cp:lastModifiedBy>
  <cp:revision>39</cp:revision>
  <dcterms:created xsi:type="dcterms:W3CDTF">2024-12-18T12:09:00Z</dcterms:created>
  <dcterms:modified xsi:type="dcterms:W3CDTF">2025-05-19T18:38:00Z</dcterms:modified>
  <cp:category/>
</cp:coreProperties>
</file>