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6A07" w14:textId="35CC52E4" w:rsidR="0022547A" w:rsidRPr="0022547A" w:rsidRDefault="00283CBA" w:rsidP="0022547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E4BCA" wp14:editId="30A827A1">
                <wp:simplePos x="0" y="0"/>
                <wp:positionH relativeFrom="column">
                  <wp:posOffset>-217599</wp:posOffset>
                </wp:positionH>
                <wp:positionV relativeFrom="paragraph">
                  <wp:posOffset>-415117</wp:posOffset>
                </wp:positionV>
                <wp:extent cx="6335486" cy="3770416"/>
                <wp:effectExtent l="0" t="0" r="0" b="19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486" cy="3770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pic="http://schemas.openxmlformats.org/drawingml/2006/pictur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3D7C6" w14:textId="233A6590" w:rsidR="003B41E7" w:rsidRPr="006A7AAA" w:rsidRDefault="00E33E87" w:rsidP="003D09DF">
                            <w:pPr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</w:pPr>
                            <w:r w:rsidRPr="006A7AAA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>FAQ</w:t>
                            </w:r>
                            <w:r w:rsidR="00363D21" w:rsidRPr="006A7AAA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 xml:space="preserve"> -</w:t>
                            </w:r>
                            <w:r w:rsidRPr="006A7AAA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6A7AAA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>C</w:t>
                            </w:r>
                            <w:r w:rsidR="0005788B" w:rsidRPr="006A7AAA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 xml:space="preserve">lassificação dos </w:t>
                            </w:r>
                            <w:r w:rsidR="006A7AAA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>A</w:t>
                            </w:r>
                            <w:r w:rsidR="0005788B" w:rsidRPr="006A7AAA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 xml:space="preserve">gentes </w:t>
                            </w:r>
                            <w:r w:rsidR="006A7AAA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>C</w:t>
                            </w:r>
                            <w:r w:rsidR="0005788B" w:rsidRPr="006A7AAA">
                              <w:rPr>
                                <w:rFonts w:asciiTheme="minorHAnsi" w:hAnsiTheme="minorHAnsi" w:cstheme="minorHAnsi"/>
                                <w:color w:val="06038D"/>
                                <w:sz w:val="80"/>
                                <w:szCs w:val="80"/>
                              </w:rPr>
                              <w:t>omercializadores (Tipo 1 e Tipo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E4BC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7.15pt;margin-top:-32.7pt;width:498.85pt;height:29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" filled="f" stroked="f">
                <v:textbox>
                  <w:txbxContent>
                    <w:p w14:paraId="5893D7C6" w14:textId="233A6590" w:rsidR="003B41E7" w:rsidRPr="006A7AAA" w:rsidRDefault="00E33E87" w:rsidP="003D09DF">
                      <w:pPr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</w:pPr>
                      <w:r w:rsidRPr="006A7AAA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>FAQ</w:t>
                      </w:r>
                      <w:r w:rsidR="00363D21" w:rsidRPr="006A7AAA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 xml:space="preserve"> -</w:t>
                      </w:r>
                      <w:r w:rsidRPr="006A7AAA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 xml:space="preserve"> </w:t>
                      </w:r>
                      <w:r w:rsidR="006A7AAA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>C</w:t>
                      </w:r>
                      <w:r w:rsidR="0005788B" w:rsidRPr="006A7AAA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 xml:space="preserve">lassificação dos </w:t>
                      </w:r>
                      <w:r w:rsidR="006A7AAA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>A</w:t>
                      </w:r>
                      <w:r w:rsidR="0005788B" w:rsidRPr="006A7AAA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 xml:space="preserve">gentes </w:t>
                      </w:r>
                      <w:r w:rsidR="006A7AAA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>C</w:t>
                      </w:r>
                      <w:r w:rsidR="0005788B" w:rsidRPr="006A7AAA">
                        <w:rPr>
                          <w:rFonts w:asciiTheme="minorHAnsi" w:hAnsiTheme="minorHAnsi" w:cstheme="minorHAnsi"/>
                          <w:color w:val="06038D"/>
                          <w:sz w:val="80"/>
                          <w:szCs w:val="80"/>
                        </w:rPr>
                        <w:t>omercializadores (Tipo 1 e Tipo 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1" locked="0" layoutInCell="1" allowOverlap="1" wp14:anchorId="43ED66D6" wp14:editId="378A8F59">
            <wp:simplePos x="0" y="0"/>
            <wp:positionH relativeFrom="column">
              <wp:posOffset>-931452</wp:posOffset>
            </wp:positionH>
            <wp:positionV relativeFrom="paragraph">
              <wp:posOffset>-1080135</wp:posOffset>
            </wp:positionV>
            <wp:extent cx="7574678" cy="10706100"/>
            <wp:effectExtent l="0" t="0" r="0" b="0"/>
            <wp:wrapNone/>
            <wp:docPr id="3" name="Imagem 3" descr="Padrão do plano de fun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Padrão do plano de fundo&#10;&#10;Descrição gerada automaticamente com confiança mé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2372" cy="10745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35BA4" w14:textId="0457CBE1" w:rsidR="0022547A" w:rsidRPr="0022547A" w:rsidRDefault="0022547A" w:rsidP="0022547A"/>
    <w:p w14:paraId="5E7F9F42" w14:textId="1D804C47" w:rsidR="0022547A" w:rsidRPr="0022547A" w:rsidRDefault="0022547A" w:rsidP="0022547A"/>
    <w:p w14:paraId="610D8A68" w14:textId="0410F346" w:rsidR="0022547A" w:rsidRPr="0022547A" w:rsidRDefault="0022547A" w:rsidP="0022547A"/>
    <w:p w14:paraId="5F83930B" w14:textId="6B1F0060" w:rsidR="0022547A" w:rsidRPr="0022547A" w:rsidRDefault="0022547A" w:rsidP="0022547A"/>
    <w:p w14:paraId="55ACEFFA" w14:textId="6FF59CC5" w:rsidR="0022547A" w:rsidRPr="0022547A" w:rsidRDefault="0022547A" w:rsidP="0022547A"/>
    <w:p w14:paraId="667F21A2" w14:textId="3B3562F2" w:rsidR="0022547A" w:rsidRPr="0022547A" w:rsidRDefault="0022547A" w:rsidP="0022547A"/>
    <w:p w14:paraId="363A3F8F" w14:textId="0677B45A" w:rsidR="0022547A" w:rsidRPr="0022547A" w:rsidRDefault="0022547A" w:rsidP="0022547A"/>
    <w:p w14:paraId="73A52684" w14:textId="053CA8E8" w:rsidR="0022547A" w:rsidRPr="0022547A" w:rsidRDefault="0022547A" w:rsidP="0022547A"/>
    <w:p w14:paraId="21C3806E" w14:textId="2F98478F" w:rsidR="0022547A" w:rsidRPr="0022547A" w:rsidRDefault="0022547A" w:rsidP="0022547A"/>
    <w:p w14:paraId="6422B3C8" w14:textId="581638A2" w:rsidR="0022547A" w:rsidRPr="0022547A" w:rsidRDefault="0022547A" w:rsidP="0022547A"/>
    <w:p w14:paraId="2257E5DC" w14:textId="146DA359" w:rsidR="0022547A" w:rsidRPr="0022547A" w:rsidRDefault="0022547A" w:rsidP="0022547A"/>
    <w:p w14:paraId="2119F979" w14:textId="105C3F6A" w:rsidR="0022547A" w:rsidRPr="0022547A" w:rsidRDefault="0022547A" w:rsidP="0022547A"/>
    <w:p w14:paraId="7C84548B" w14:textId="678785CD" w:rsidR="0022547A" w:rsidRPr="0022547A" w:rsidRDefault="00A23271" w:rsidP="0022547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5553D0EA" wp14:editId="585A377E">
                <wp:simplePos x="0" y="0"/>
                <wp:positionH relativeFrom="column">
                  <wp:posOffset>-342928</wp:posOffset>
                </wp:positionH>
                <wp:positionV relativeFrom="paragraph">
                  <wp:posOffset>332188</wp:posOffset>
                </wp:positionV>
                <wp:extent cx="5567680" cy="1513840"/>
                <wp:effectExtent l="0" t="0" r="0" b="0"/>
                <wp:wrapNone/>
                <wp:docPr id="151594730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A4490" w14:textId="77777777" w:rsidR="00A23271" w:rsidRPr="00E67ABD" w:rsidRDefault="00A23271" w:rsidP="00A2327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E67ABD">
                              <w:rPr>
                                <w:rFonts w:asciiTheme="minorHAnsi" w:hAnsiTheme="minorHAnsi" w:cstheme="minorHAnsi"/>
                                <w:color w:val="0E2C68"/>
                                <w:sz w:val="36"/>
                                <w:szCs w:val="36"/>
                              </w:rPr>
                              <w:t>Gerência/área:</w:t>
                            </w:r>
                            <w:r w:rsidRPr="00E67ABD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 Gerência de Conformidade dos Dados de Mercado - GCDM</w:t>
                            </w:r>
                          </w:p>
                          <w:p w14:paraId="1DB519B0" w14:textId="00612B7C" w:rsidR="00A23271" w:rsidRPr="00E67ABD" w:rsidRDefault="00A23271" w:rsidP="00A23271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E2C68"/>
                                <w:sz w:val="36"/>
                                <w:szCs w:val="36"/>
                              </w:rPr>
                            </w:pPr>
                            <w:r w:rsidRPr="00E67ABD">
                              <w:rPr>
                                <w:rFonts w:asciiTheme="minorHAnsi" w:hAnsiTheme="minorHAnsi" w:cstheme="minorHAnsi"/>
                                <w:color w:val="0E2C68"/>
                                <w:sz w:val="36"/>
                                <w:szCs w:val="36"/>
                              </w:rPr>
                              <w:t>Autor:</w:t>
                            </w:r>
                            <w:r w:rsidRPr="00E67ABD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 GESEM - GCDM</w:t>
                            </w:r>
                          </w:p>
                          <w:p w14:paraId="47A73274" w14:textId="77777777" w:rsidR="00A23271" w:rsidRPr="00E67ABD" w:rsidRDefault="00A23271" w:rsidP="00A23271">
                            <w:pPr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E67ABD">
                              <w:rPr>
                                <w:rFonts w:asciiTheme="minorHAnsi" w:hAnsiTheme="minorHAnsi" w:cstheme="minorHAnsi"/>
                                <w:color w:val="0E2C68"/>
                                <w:sz w:val="36"/>
                                <w:szCs w:val="36"/>
                              </w:rPr>
                              <w:t>Versão:</w:t>
                            </w:r>
                            <w:r w:rsidRPr="00E67ABD">
                              <w:rPr>
                                <w:rFonts w:asciiTheme="minorHAnsi" w:hAnsiTheme="minorHAnsi" w:cstheme="minorHAnsi"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3D0E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27pt;margin-top:26.15pt;width:438.4pt;height:119.2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" filled="f" stroked="f">
                <v:textbox>
                  <w:txbxContent>
                    <w:p w14:paraId="4FCA4490" w14:textId="77777777" w:rsidR="00A23271" w:rsidRPr="00E67ABD" w:rsidRDefault="00A23271" w:rsidP="00A2327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E67ABD">
                        <w:rPr>
                          <w:rFonts w:asciiTheme="minorHAnsi" w:hAnsiTheme="minorHAnsi" w:cstheme="minorHAnsi"/>
                          <w:color w:val="0E2C68"/>
                          <w:sz w:val="36"/>
                          <w:szCs w:val="36"/>
                        </w:rPr>
                        <w:t>Gerência/área:</w:t>
                      </w:r>
                      <w:r w:rsidRPr="00E67ABD"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  <w:t xml:space="preserve"> Gerência de Conformidade dos Dados de Mercado - GCDM</w:t>
                      </w:r>
                    </w:p>
                    <w:p w14:paraId="1DB519B0" w14:textId="00612B7C" w:rsidR="00A23271" w:rsidRPr="00E67ABD" w:rsidRDefault="00A23271" w:rsidP="00A23271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0E2C68"/>
                          <w:sz w:val="36"/>
                          <w:szCs w:val="36"/>
                        </w:rPr>
                      </w:pPr>
                      <w:r w:rsidRPr="00E67ABD">
                        <w:rPr>
                          <w:rFonts w:asciiTheme="minorHAnsi" w:hAnsiTheme="minorHAnsi" w:cstheme="minorHAnsi"/>
                          <w:color w:val="0E2C68"/>
                          <w:sz w:val="36"/>
                          <w:szCs w:val="36"/>
                        </w:rPr>
                        <w:t>Autor:</w:t>
                      </w:r>
                      <w:r w:rsidRPr="00E67ABD"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  <w:t xml:space="preserve"> GESEM - GCDM</w:t>
                      </w:r>
                    </w:p>
                    <w:p w14:paraId="47A73274" w14:textId="77777777" w:rsidR="00A23271" w:rsidRPr="00E67ABD" w:rsidRDefault="00A23271" w:rsidP="00A23271">
                      <w:pPr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E67ABD">
                        <w:rPr>
                          <w:rFonts w:asciiTheme="minorHAnsi" w:hAnsiTheme="minorHAnsi" w:cstheme="minorHAnsi"/>
                          <w:color w:val="0E2C68"/>
                          <w:sz w:val="36"/>
                          <w:szCs w:val="36"/>
                        </w:rPr>
                        <w:t>Versão:</w:t>
                      </w:r>
                      <w:r w:rsidRPr="00E67ABD">
                        <w:rPr>
                          <w:rFonts w:asciiTheme="minorHAnsi" w:hAnsiTheme="minorHAnsi" w:cstheme="minorHAnsi"/>
                          <w:color w:val="262626" w:themeColor="text1" w:themeTint="D9"/>
                          <w:sz w:val="36"/>
                          <w:szCs w:val="36"/>
                        </w:rPr>
                        <w:t xml:space="preserve"> 1.0</w:t>
                      </w:r>
                    </w:p>
                  </w:txbxContent>
                </v:textbox>
              </v:shape>
            </w:pict>
          </mc:Fallback>
        </mc:AlternateContent>
      </w:r>
    </w:p>
    <w:p w14:paraId="7BAC6489" w14:textId="7D499A6F" w:rsidR="0022547A" w:rsidRPr="0022547A" w:rsidRDefault="00283CBA" w:rsidP="0022547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968FD4" wp14:editId="77E6B53A">
                <wp:simplePos x="0" y="0"/>
                <wp:positionH relativeFrom="column">
                  <wp:posOffset>-358140</wp:posOffset>
                </wp:positionH>
                <wp:positionV relativeFrom="paragraph">
                  <wp:posOffset>257175</wp:posOffset>
                </wp:positionV>
                <wp:extent cx="5567680" cy="151384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pic="http://schemas.openxmlformats.org/drawingml/2006/pictur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F99D7" w14:textId="3A26BD23" w:rsidR="00854D75" w:rsidRPr="009357DD" w:rsidRDefault="00854D75" w:rsidP="003F2A90">
                            <w:pPr>
                              <w:rPr>
                                <w:rFonts w:ascii="Verdana" w:hAnsi="Verdana"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8FD4" id="_x0000_s1028" type="#_x0000_t202" style="position:absolute;margin-left:-28.2pt;margin-top:20.25pt;width:438.4pt;height:119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" filled="f" stroked="f">
                <v:textbox>
                  <w:txbxContent>
                    <w:p w14:paraId="62FF99D7" w14:textId="3A26BD23" w:rsidR="00854D75" w:rsidRPr="009357DD" w:rsidRDefault="00854D75" w:rsidP="003F2A90">
                      <w:pPr>
                        <w:rPr>
                          <w:rFonts w:ascii="Verdana" w:hAnsi="Verdana"/>
                          <w:color w:val="262626" w:themeColor="text1" w:themeTint="D9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99C858" w14:textId="5524E719" w:rsidR="0022547A" w:rsidRPr="0022547A" w:rsidRDefault="0022547A" w:rsidP="0022547A"/>
    <w:p w14:paraId="69A79316" w14:textId="4532C298" w:rsidR="0022547A" w:rsidRPr="0022547A" w:rsidRDefault="0022547A" w:rsidP="0022547A"/>
    <w:p w14:paraId="5CC298E5" w14:textId="5B9FC007" w:rsidR="00E92A43" w:rsidRDefault="00E92A43">
      <w:r>
        <w:br w:type="page"/>
      </w:r>
    </w:p>
    <w:p w14:paraId="3070643B" w14:textId="0A74918D" w:rsidR="00144551" w:rsidRDefault="00144551" w:rsidP="0022547A">
      <w:pPr>
        <w:sectPr w:rsidR="00144551" w:rsidSect="005D191D">
          <w:headerReference w:type="default" r:id="rId9"/>
          <w:pgSz w:w="11906" w:h="16838"/>
          <w:pgMar w:top="1701" w:right="1134" w:bottom="567" w:left="1418" w:header="709" w:footer="709" w:gutter="0"/>
          <w:pgNumType w:start="1"/>
          <w:cols w:space="708"/>
          <w:titlePg/>
          <w:docGrid w:linePitch="360"/>
        </w:sectPr>
      </w:pPr>
    </w:p>
    <w:p w14:paraId="62C1F982" w14:textId="448927D5" w:rsidR="0022547A" w:rsidRDefault="0022547A" w:rsidP="0022547A"/>
    <w:sdt>
      <w:sdtPr>
        <w:rPr>
          <w:rFonts w:ascii="Calibri" w:eastAsia="Calibri" w:hAnsi="Calibri" w:cstheme="minorBidi"/>
          <w:color w:val="auto"/>
          <w:sz w:val="22"/>
          <w:szCs w:val="22"/>
          <w:lang w:eastAsia="en-US"/>
        </w:rPr>
        <w:id w:val="8679537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9FAC06" w14:textId="60F567DA" w:rsidR="00E33E87" w:rsidRPr="00680F83" w:rsidRDefault="00E33E87" w:rsidP="00680F83">
          <w:pPr>
            <w:pStyle w:val="CabealhodoSumrio"/>
            <w:jc w:val="center"/>
            <w:rPr>
              <w:rFonts w:asciiTheme="minorHAnsi" w:hAnsiTheme="minorHAnsi" w:cstheme="minorHAnsi"/>
              <w:b/>
              <w:bCs/>
              <w:color w:val="06038D"/>
              <w:sz w:val="28"/>
              <w:szCs w:val="28"/>
            </w:rPr>
          </w:pPr>
          <w:r w:rsidRPr="00680F83">
            <w:rPr>
              <w:rFonts w:asciiTheme="minorHAnsi" w:hAnsiTheme="minorHAnsi" w:cstheme="minorHAnsi"/>
              <w:b/>
              <w:bCs/>
              <w:color w:val="06038D"/>
              <w:sz w:val="28"/>
              <w:szCs w:val="28"/>
            </w:rPr>
            <w:t>Sumário</w:t>
          </w:r>
        </w:p>
        <w:p w14:paraId="3CCFAFCA" w14:textId="74527A3D" w:rsidR="00512D95" w:rsidRDefault="00E33E87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EC3A12">
            <w:rPr>
              <w:color w:val="4C4C4C"/>
              <w:sz w:val="24"/>
              <w:szCs w:val="24"/>
            </w:rPr>
            <w:fldChar w:fldCharType="begin"/>
          </w:r>
          <w:r w:rsidRPr="00EC3A12">
            <w:rPr>
              <w:color w:val="4C4C4C"/>
              <w:sz w:val="24"/>
              <w:szCs w:val="24"/>
            </w:rPr>
            <w:instrText xml:space="preserve"> TOC \o "1-3" \h \z \u </w:instrText>
          </w:r>
          <w:r w:rsidRPr="00EC3A12">
            <w:rPr>
              <w:color w:val="4C4C4C"/>
              <w:sz w:val="24"/>
              <w:szCs w:val="24"/>
            </w:rPr>
            <w:fldChar w:fldCharType="separate"/>
          </w:r>
          <w:hyperlink w:anchor="_Toc187317773" w:history="1">
            <w:r w:rsidR="00512D95" w:rsidRPr="001702B0">
              <w:rPr>
                <w:rStyle w:val="Hyperlink"/>
                <w:rFonts w:cstheme="minorHAnsi"/>
                <w:b/>
                <w:bCs/>
                <w:noProof/>
              </w:rPr>
              <w:t>1 – Objetivo</w:t>
            </w:r>
            <w:r w:rsidR="00512D95">
              <w:rPr>
                <w:noProof/>
                <w:webHidden/>
              </w:rPr>
              <w:tab/>
            </w:r>
            <w:r w:rsidR="00512D95">
              <w:rPr>
                <w:noProof/>
                <w:webHidden/>
              </w:rPr>
              <w:fldChar w:fldCharType="begin"/>
            </w:r>
            <w:r w:rsidR="00512D95">
              <w:rPr>
                <w:noProof/>
                <w:webHidden/>
              </w:rPr>
              <w:instrText xml:space="preserve"> PAGEREF _Toc187317773 \h </w:instrText>
            </w:r>
            <w:r w:rsidR="00512D95">
              <w:rPr>
                <w:noProof/>
                <w:webHidden/>
              </w:rPr>
            </w:r>
            <w:r w:rsidR="00512D95">
              <w:rPr>
                <w:noProof/>
                <w:webHidden/>
              </w:rPr>
              <w:fldChar w:fldCharType="separate"/>
            </w:r>
            <w:r w:rsidR="00512D95">
              <w:rPr>
                <w:noProof/>
                <w:webHidden/>
              </w:rPr>
              <w:t>2</w:t>
            </w:r>
            <w:r w:rsidR="00512D95">
              <w:rPr>
                <w:noProof/>
                <w:webHidden/>
              </w:rPr>
              <w:fldChar w:fldCharType="end"/>
            </w:r>
          </w:hyperlink>
        </w:p>
        <w:p w14:paraId="0697B6A5" w14:textId="054F0FBE" w:rsidR="00512D95" w:rsidRDefault="00512D9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7774" w:history="1">
            <w:r w:rsidRPr="001702B0">
              <w:rPr>
                <w:rStyle w:val="Hyperlink"/>
                <w:rFonts w:cstheme="minorHAnsi"/>
                <w:b/>
                <w:bCs/>
                <w:noProof/>
              </w:rPr>
              <w:t>2 – Principais questionamentos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69EC1" w14:textId="1DA9E6AE" w:rsidR="00512D95" w:rsidRDefault="00512D9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7775" w:history="1">
            <w:r w:rsidRPr="001702B0">
              <w:rPr>
                <w:rStyle w:val="Hyperlink"/>
                <w:rFonts w:cstheme="minorHAnsi"/>
                <w:noProof/>
              </w:rPr>
              <w:t>2.1 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4F82E" w14:textId="58934D97" w:rsidR="00512D95" w:rsidRDefault="00512D95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7776" w:history="1">
            <w:r w:rsidRPr="001702B0">
              <w:rPr>
                <w:rStyle w:val="Hyperlink"/>
                <w:rFonts w:cstheme="minorHAnsi"/>
                <w:noProof/>
              </w:rPr>
              <w:t>2.1.1 – O processo de classificação é obrigatório?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1BAAD" w14:textId="3C76F52B" w:rsidR="00512D95" w:rsidRDefault="00512D95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7777" w:history="1">
            <w:r w:rsidRPr="001702B0">
              <w:rPr>
                <w:rStyle w:val="Hyperlink"/>
                <w:rFonts w:cstheme="minorHAnsi"/>
                <w:noProof/>
              </w:rPr>
              <w:t>2.1.2 – Quais informações devo enviar?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36101" w14:textId="240DFE05" w:rsidR="00512D95" w:rsidRDefault="00512D9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7778" w:history="1">
            <w:r w:rsidRPr="001702B0">
              <w:rPr>
                <w:rStyle w:val="Hyperlink"/>
                <w:rFonts w:cstheme="minorHAnsi"/>
                <w:noProof/>
              </w:rPr>
              <w:t>2.2 Período da classificação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D46B8" w14:textId="0B2C4F3B" w:rsidR="00512D95" w:rsidRDefault="00512D95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7779" w:history="1">
            <w:r w:rsidRPr="001702B0">
              <w:rPr>
                <w:rStyle w:val="Hyperlink"/>
                <w:rFonts w:cstheme="minorHAnsi"/>
                <w:noProof/>
              </w:rPr>
              <w:t>2.2.1 – Qual o prazo para envio das informações?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ED523" w14:textId="0E963E0C" w:rsidR="00512D95" w:rsidRDefault="00512D95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7780" w:history="1">
            <w:r w:rsidRPr="001702B0">
              <w:rPr>
                <w:rStyle w:val="Hyperlink"/>
                <w:rFonts w:cstheme="minorHAnsi"/>
                <w:noProof/>
              </w:rPr>
              <w:t>2.2.2 – Como eu realizo o envio das informações?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386D1" w14:textId="4DA8C3F2" w:rsidR="00512D95" w:rsidRDefault="00512D95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7781" w:history="1">
            <w:r w:rsidRPr="001702B0">
              <w:rPr>
                <w:rStyle w:val="Hyperlink"/>
                <w:rFonts w:cstheme="minorHAnsi"/>
                <w:noProof/>
              </w:rPr>
              <w:t>2.2.3 Como acompanho o processo de classificação?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7D75F" w14:textId="3A834C9C" w:rsidR="00512D95" w:rsidRDefault="00512D9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7782" w:history="1">
            <w:r w:rsidRPr="001702B0">
              <w:rPr>
                <w:rStyle w:val="Hyperlink"/>
                <w:rFonts w:cstheme="minorHAnsi"/>
                <w:noProof/>
              </w:rPr>
              <w:t>2.3 Reclassificação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E0A04" w14:textId="309DAF9D" w:rsidR="00512D95" w:rsidRDefault="00512D95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7783" w:history="1">
            <w:r w:rsidRPr="001702B0">
              <w:rPr>
                <w:rStyle w:val="Hyperlink"/>
                <w:rFonts w:cstheme="minorHAnsi"/>
                <w:noProof/>
              </w:rPr>
              <w:t>2.3.1 – Caso eu seja classificado como Tipo 2, é possível pedir uma nova classificação para Tipo 1?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2FF43" w14:textId="7D2ED526" w:rsidR="00512D95" w:rsidRDefault="00512D9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7784" w:history="1">
            <w:r w:rsidRPr="001702B0">
              <w:rPr>
                <w:rStyle w:val="Hyperlink"/>
                <w:rFonts w:cstheme="minorHAnsi"/>
                <w:noProof/>
              </w:rPr>
              <w:t>2.4 Conclusão da manutenção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795F0" w14:textId="63AF812A" w:rsidR="00512D95" w:rsidRDefault="00512D95">
          <w:pPr>
            <w:pStyle w:val="Sumrio3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7317785" w:history="1">
            <w:r w:rsidRPr="001702B0">
              <w:rPr>
                <w:rStyle w:val="Hyperlink"/>
                <w:rFonts w:cstheme="minorHAnsi"/>
                <w:noProof/>
              </w:rPr>
              <w:t>2.4.1 - O que acontece caso eu não realize o envio?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_Toc187317785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72A69" w14:textId="0E86E00E" w:rsidR="00E33E87" w:rsidRDefault="00E33E87" w:rsidP="005924AA">
          <w:r w:rsidRPr="00EC3A12">
            <w:rPr>
              <w:b/>
              <w:bCs/>
              <w:color w:val="4C4C4C"/>
              <w:sz w:val="24"/>
              <w:szCs w:val="24"/>
            </w:rPr>
            <w:fldChar w:fldCharType="end"/>
          </w:r>
        </w:p>
      </w:sdtContent>
    </w:sdt>
    <w:p w14:paraId="271E9EA6" w14:textId="77777777" w:rsidR="005924AA" w:rsidRDefault="005924AA" w:rsidP="005924AA"/>
    <w:p w14:paraId="452FBBD2" w14:textId="77777777" w:rsidR="005924AA" w:rsidRDefault="005924AA" w:rsidP="005924AA"/>
    <w:p w14:paraId="68F8B40D" w14:textId="18CEEBFB" w:rsidR="00E33E87" w:rsidRPr="004F16D5" w:rsidRDefault="00E33E87" w:rsidP="00E33E87">
      <w:pPr>
        <w:pStyle w:val="Ttulo1"/>
        <w:rPr>
          <w:rFonts w:asciiTheme="minorHAnsi" w:hAnsiTheme="minorHAnsi" w:cstheme="minorHAnsi"/>
          <w:b/>
          <w:bCs/>
          <w:color w:val="06038D"/>
          <w:sz w:val="28"/>
          <w:szCs w:val="28"/>
        </w:rPr>
      </w:pPr>
      <w:bookmarkStart w:id="0" w:name="_Toc187317773"/>
      <w:r w:rsidRPr="004F16D5">
        <w:rPr>
          <w:rFonts w:asciiTheme="minorHAnsi" w:hAnsiTheme="minorHAnsi" w:cstheme="minorHAnsi"/>
          <w:b/>
          <w:bCs/>
          <w:color w:val="06038D"/>
          <w:sz w:val="28"/>
          <w:szCs w:val="28"/>
        </w:rPr>
        <w:t>1 – Objetivo</w:t>
      </w:r>
      <w:bookmarkEnd w:id="0"/>
    </w:p>
    <w:p w14:paraId="2D73A89B" w14:textId="17FF32D1" w:rsidR="00E33E87" w:rsidRPr="00980D3C" w:rsidRDefault="00E33E87" w:rsidP="003B41E7">
      <w:pPr>
        <w:jc w:val="both"/>
        <w:rPr>
          <w:color w:val="4C4C4C"/>
          <w:sz w:val="24"/>
          <w:szCs w:val="24"/>
        </w:rPr>
      </w:pPr>
      <w:r w:rsidRPr="00980D3C">
        <w:rPr>
          <w:color w:val="4C4C4C"/>
          <w:sz w:val="24"/>
          <w:szCs w:val="24"/>
        </w:rPr>
        <w:t xml:space="preserve">O presente documento tem por objetivo agrupar os principais questionamentos relacionados ao processo de </w:t>
      </w:r>
      <w:r w:rsidR="0005788B" w:rsidRPr="00980D3C">
        <w:rPr>
          <w:color w:val="4C4C4C"/>
          <w:sz w:val="24"/>
          <w:szCs w:val="24"/>
        </w:rPr>
        <w:t>classificação</w:t>
      </w:r>
      <w:r w:rsidRPr="00980D3C">
        <w:rPr>
          <w:color w:val="4C4C4C"/>
          <w:sz w:val="24"/>
          <w:szCs w:val="24"/>
        </w:rPr>
        <w:t xml:space="preserve"> </w:t>
      </w:r>
      <w:r w:rsidR="003B41E7" w:rsidRPr="00980D3C">
        <w:rPr>
          <w:color w:val="4C4C4C"/>
          <w:sz w:val="24"/>
          <w:szCs w:val="24"/>
        </w:rPr>
        <w:t xml:space="preserve">para os agentes da classe dos </w:t>
      </w:r>
      <w:r w:rsidRPr="00980D3C">
        <w:rPr>
          <w:color w:val="4C4C4C"/>
          <w:sz w:val="24"/>
          <w:szCs w:val="24"/>
        </w:rPr>
        <w:t>comercializador</w:t>
      </w:r>
      <w:r w:rsidR="003B41E7" w:rsidRPr="00980D3C">
        <w:rPr>
          <w:color w:val="4C4C4C"/>
          <w:sz w:val="24"/>
          <w:szCs w:val="24"/>
        </w:rPr>
        <w:t>es</w:t>
      </w:r>
      <w:r w:rsidR="00AE4525">
        <w:rPr>
          <w:color w:val="4C4C4C"/>
          <w:sz w:val="24"/>
          <w:szCs w:val="24"/>
        </w:rPr>
        <w:t>.</w:t>
      </w:r>
    </w:p>
    <w:p w14:paraId="31DD014A" w14:textId="39200D99" w:rsidR="00E33E87" w:rsidRPr="00873770" w:rsidRDefault="00E33E87" w:rsidP="00873770">
      <w:pPr>
        <w:pStyle w:val="Ttulo1"/>
        <w:rPr>
          <w:rFonts w:asciiTheme="minorHAnsi" w:hAnsiTheme="minorHAnsi" w:cstheme="minorHAnsi"/>
          <w:b/>
          <w:bCs/>
          <w:color w:val="06038D"/>
          <w:sz w:val="28"/>
          <w:szCs w:val="28"/>
        </w:rPr>
      </w:pPr>
      <w:bookmarkStart w:id="1" w:name="_Toc187317774"/>
      <w:r w:rsidRPr="00873770">
        <w:rPr>
          <w:rFonts w:asciiTheme="minorHAnsi" w:hAnsiTheme="minorHAnsi" w:cstheme="minorHAnsi"/>
          <w:b/>
          <w:bCs/>
          <w:color w:val="06038D"/>
          <w:sz w:val="28"/>
          <w:szCs w:val="28"/>
        </w:rPr>
        <w:t>2 – Principais questionamentos</w:t>
      </w:r>
      <w:bookmarkEnd w:id="1"/>
    </w:p>
    <w:p w14:paraId="707CCF96" w14:textId="133D086D" w:rsidR="00E33E87" w:rsidRDefault="00E33E87" w:rsidP="00B10DE6">
      <w:pPr>
        <w:pStyle w:val="Ttulo2"/>
        <w:rPr>
          <w:rFonts w:asciiTheme="minorHAnsi" w:hAnsiTheme="minorHAnsi" w:cstheme="minorHAnsi"/>
          <w:color w:val="06038D"/>
          <w:sz w:val="28"/>
          <w:szCs w:val="28"/>
        </w:rPr>
      </w:pPr>
      <w:bookmarkStart w:id="2" w:name="_Toc187317775"/>
      <w:r w:rsidRPr="00B10DE6">
        <w:rPr>
          <w:rFonts w:asciiTheme="minorHAnsi" w:hAnsiTheme="minorHAnsi" w:cstheme="minorHAnsi"/>
          <w:color w:val="06038D"/>
          <w:sz w:val="28"/>
          <w:szCs w:val="28"/>
        </w:rPr>
        <w:t>2.1 Introdução</w:t>
      </w:r>
      <w:bookmarkEnd w:id="2"/>
    </w:p>
    <w:p w14:paraId="07F33DC3" w14:textId="77777777" w:rsidR="00A93CBE" w:rsidRPr="00A93CBE" w:rsidRDefault="00A93CBE" w:rsidP="00A93CBE"/>
    <w:p w14:paraId="19834A62" w14:textId="0DCE4FC3" w:rsidR="0005788B" w:rsidRPr="00F928B1" w:rsidRDefault="00E33E87" w:rsidP="00F928B1">
      <w:pPr>
        <w:pStyle w:val="Ttulo3"/>
        <w:rPr>
          <w:rFonts w:asciiTheme="minorHAnsi" w:hAnsiTheme="minorHAnsi" w:cstheme="minorHAnsi"/>
          <w:color w:val="06038D"/>
        </w:rPr>
      </w:pPr>
      <w:bookmarkStart w:id="3" w:name="_Toc187317776"/>
      <w:r w:rsidRPr="00F928B1">
        <w:rPr>
          <w:rFonts w:asciiTheme="minorHAnsi" w:hAnsiTheme="minorHAnsi" w:cstheme="minorHAnsi"/>
          <w:color w:val="06038D"/>
        </w:rPr>
        <w:t>2.1.1 –</w:t>
      </w:r>
      <w:r w:rsidR="00A93CBE">
        <w:rPr>
          <w:rFonts w:asciiTheme="minorHAnsi" w:hAnsiTheme="minorHAnsi" w:cstheme="minorHAnsi"/>
          <w:color w:val="06038D"/>
        </w:rPr>
        <w:t xml:space="preserve"> </w:t>
      </w:r>
      <w:r w:rsidR="003B41E7" w:rsidRPr="00F928B1">
        <w:rPr>
          <w:rFonts w:asciiTheme="minorHAnsi" w:hAnsiTheme="minorHAnsi" w:cstheme="minorHAnsi"/>
          <w:color w:val="06038D"/>
        </w:rPr>
        <w:t xml:space="preserve">O processo de </w:t>
      </w:r>
      <w:r w:rsidR="0005788B" w:rsidRPr="00F928B1">
        <w:rPr>
          <w:rFonts w:asciiTheme="minorHAnsi" w:hAnsiTheme="minorHAnsi" w:cstheme="minorHAnsi"/>
          <w:color w:val="06038D"/>
        </w:rPr>
        <w:t>classificação</w:t>
      </w:r>
      <w:r w:rsidR="003B41E7" w:rsidRPr="00F928B1">
        <w:rPr>
          <w:rFonts w:asciiTheme="minorHAnsi" w:hAnsiTheme="minorHAnsi" w:cstheme="minorHAnsi"/>
          <w:color w:val="06038D"/>
        </w:rPr>
        <w:t xml:space="preserve"> é obrigatório</w:t>
      </w:r>
      <w:r w:rsidRPr="00F928B1">
        <w:rPr>
          <w:rFonts w:asciiTheme="minorHAnsi" w:hAnsiTheme="minorHAnsi" w:cstheme="minorHAnsi"/>
          <w:color w:val="06038D"/>
        </w:rPr>
        <w:t>?</w:t>
      </w:r>
      <w:bookmarkEnd w:id="3"/>
    </w:p>
    <w:p w14:paraId="5C37C132" w14:textId="752D61EA" w:rsidR="007244AF" w:rsidRPr="00031EE8" w:rsidRDefault="007244AF" w:rsidP="00031EE8">
      <w:pPr>
        <w:jc w:val="both"/>
        <w:rPr>
          <w:color w:val="4C4C4C"/>
          <w:sz w:val="24"/>
          <w:szCs w:val="24"/>
        </w:rPr>
      </w:pPr>
      <w:r w:rsidRPr="00031EE8">
        <w:rPr>
          <w:color w:val="4C4C4C"/>
          <w:sz w:val="24"/>
          <w:szCs w:val="24"/>
        </w:rPr>
        <w:t>O processo é estabelecido pela</w:t>
      </w:r>
      <w:r w:rsidR="00963136" w:rsidRPr="00963136">
        <w:rPr>
          <w:color w:val="4C4C4C"/>
          <w:sz w:val="24"/>
          <w:szCs w:val="24"/>
        </w:rPr>
        <w:t xml:space="preserve"> </w:t>
      </w:r>
      <w:r w:rsidR="00963136">
        <w:rPr>
          <w:color w:val="4C4C4C"/>
          <w:sz w:val="24"/>
          <w:szCs w:val="24"/>
        </w:rPr>
        <w:t>Resolução Normativa</w:t>
      </w:r>
      <w:r w:rsidR="00B54570">
        <w:rPr>
          <w:color w:val="4C4C4C"/>
          <w:sz w:val="24"/>
          <w:szCs w:val="24"/>
        </w:rPr>
        <w:t xml:space="preserve"> Aneel</w:t>
      </w:r>
      <w:r w:rsidR="00963136">
        <w:rPr>
          <w:color w:val="4C4C4C"/>
          <w:sz w:val="24"/>
          <w:szCs w:val="24"/>
        </w:rPr>
        <w:t xml:space="preserve"> - REN</w:t>
      </w:r>
      <w:r w:rsidRPr="00031EE8">
        <w:rPr>
          <w:color w:val="4C4C4C"/>
          <w:sz w:val="24"/>
          <w:szCs w:val="24"/>
        </w:rPr>
        <w:t xml:space="preserve"> nº 1.011/2022 em seu</w:t>
      </w:r>
      <w:r w:rsidR="00B54570">
        <w:rPr>
          <w:color w:val="4C4C4C"/>
          <w:sz w:val="24"/>
          <w:szCs w:val="24"/>
        </w:rPr>
        <w:t>s</w:t>
      </w:r>
      <w:r w:rsidRPr="00031EE8">
        <w:rPr>
          <w:color w:val="4C4C4C"/>
          <w:sz w:val="24"/>
          <w:szCs w:val="24"/>
        </w:rPr>
        <w:t xml:space="preserve"> artigo</w:t>
      </w:r>
      <w:r w:rsidR="00B54570">
        <w:rPr>
          <w:color w:val="4C4C4C"/>
          <w:sz w:val="24"/>
          <w:szCs w:val="24"/>
        </w:rPr>
        <w:t>s</w:t>
      </w:r>
      <w:r w:rsidRPr="00031EE8">
        <w:rPr>
          <w:color w:val="4C4C4C"/>
          <w:sz w:val="24"/>
          <w:szCs w:val="24"/>
        </w:rPr>
        <w:t xml:space="preserve"> </w:t>
      </w:r>
      <w:r w:rsidR="0005788B" w:rsidRPr="00031EE8">
        <w:rPr>
          <w:color w:val="4C4C4C"/>
          <w:sz w:val="24"/>
          <w:szCs w:val="24"/>
        </w:rPr>
        <w:t>1º e 2</w:t>
      </w:r>
      <w:r w:rsidRPr="00031EE8">
        <w:rPr>
          <w:color w:val="4C4C4C"/>
          <w:sz w:val="24"/>
          <w:szCs w:val="24"/>
        </w:rPr>
        <w:t xml:space="preserve">º, </w:t>
      </w:r>
      <w:r w:rsidR="00457D8B">
        <w:rPr>
          <w:color w:val="4C4C4C"/>
          <w:sz w:val="24"/>
          <w:szCs w:val="24"/>
        </w:rPr>
        <w:t xml:space="preserve">alterada pela REN nº 1.014/2022, </w:t>
      </w:r>
      <w:r w:rsidR="008C1EB5" w:rsidRPr="00031EE8">
        <w:rPr>
          <w:color w:val="4C4C4C"/>
          <w:sz w:val="24"/>
          <w:szCs w:val="24"/>
        </w:rPr>
        <w:t>em conjunto</w:t>
      </w:r>
      <w:r w:rsidRPr="00031EE8">
        <w:rPr>
          <w:color w:val="4C4C4C"/>
          <w:sz w:val="24"/>
          <w:szCs w:val="24"/>
        </w:rPr>
        <w:t xml:space="preserve"> com o </w:t>
      </w:r>
      <w:r w:rsidR="005604C7">
        <w:rPr>
          <w:color w:val="4C4C4C"/>
          <w:sz w:val="24"/>
          <w:szCs w:val="24"/>
        </w:rPr>
        <w:t>S</w:t>
      </w:r>
      <w:r w:rsidRPr="00031EE8">
        <w:rPr>
          <w:color w:val="4C4C4C"/>
          <w:sz w:val="24"/>
          <w:szCs w:val="24"/>
        </w:rPr>
        <w:t xml:space="preserve">ubmódulo 1.2 – </w:t>
      </w:r>
      <w:r w:rsidR="001F74FC" w:rsidRPr="00031EE8">
        <w:rPr>
          <w:color w:val="4C4C4C"/>
          <w:sz w:val="24"/>
          <w:szCs w:val="24"/>
        </w:rPr>
        <w:t>C</w:t>
      </w:r>
      <w:r w:rsidRPr="00031EE8">
        <w:rPr>
          <w:color w:val="4C4C4C"/>
          <w:sz w:val="24"/>
          <w:szCs w:val="24"/>
        </w:rPr>
        <w:t xml:space="preserve">adastro de </w:t>
      </w:r>
      <w:r w:rsidR="001F74FC" w:rsidRPr="00031EE8">
        <w:rPr>
          <w:color w:val="4C4C4C"/>
          <w:sz w:val="24"/>
          <w:szCs w:val="24"/>
        </w:rPr>
        <w:t>A</w:t>
      </w:r>
      <w:r w:rsidRPr="00031EE8">
        <w:rPr>
          <w:color w:val="4C4C4C"/>
          <w:sz w:val="24"/>
          <w:szCs w:val="24"/>
        </w:rPr>
        <w:t>gentes</w:t>
      </w:r>
      <w:r w:rsidR="008C1EB5" w:rsidRPr="00031EE8">
        <w:rPr>
          <w:color w:val="4C4C4C"/>
          <w:sz w:val="24"/>
          <w:szCs w:val="24"/>
        </w:rPr>
        <w:t>,</w:t>
      </w:r>
      <w:r w:rsidRPr="00031EE8">
        <w:rPr>
          <w:color w:val="4C4C4C"/>
          <w:sz w:val="24"/>
          <w:szCs w:val="24"/>
        </w:rPr>
        <w:t xml:space="preserve"> dos </w:t>
      </w:r>
      <w:r w:rsidR="001F74FC" w:rsidRPr="00031EE8">
        <w:rPr>
          <w:color w:val="4C4C4C"/>
          <w:sz w:val="24"/>
          <w:szCs w:val="24"/>
        </w:rPr>
        <w:t>P</w:t>
      </w:r>
      <w:r w:rsidRPr="00031EE8">
        <w:rPr>
          <w:color w:val="4C4C4C"/>
          <w:sz w:val="24"/>
          <w:szCs w:val="24"/>
        </w:rPr>
        <w:t xml:space="preserve">rocedimentos de </w:t>
      </w:r>
      <w:r w:rsidR="001F74FC" w:rsidRPr="00031EE8">
        <w:rPr>
          <w:color w:val="4C4C4C"/>
          <w:sz w:val="24"/>
          <w:szCs w:val="24"/>
        </w:rPr>
        <w:t>C</w:t>
      </w:r>
      <w:r w:rsidRPr="00031EE8">
        <w:rPr>
          <w:color w:val="4C4C4C"/>
          <w:sz w:val="24"/>
          <w:szCs w:val="24"/>
        </w:rPr>
        <w:t>omercialização “PdC”</w:t>
      </w:r>
      <w:r w:rsidR="00C034F5" w:rsidRPr="00031EE8">
        <w:rPr>
          <w:color w:val="4C4C4C"/>
          <w:sz w:val="24"/>
          <w:szCs w:val="24"/>
        </w:rPr>
        <w:t xml:space="preserve"> e é obrigatório para os agentes comercializadores</w:t>
      </w:r>
      <w:r w:rsidRPr="00031EE8">
        <w:rPr>
          <w:color w:val="4C4C4C"/>
          <w:sz w:val="24"/>
          <w:szCs w:val="24"/>
        </w:rPr>
        <w:t>.</w:t>
      </w:r>
    </w:p>
    <w:p w14:paraId="31C4D7EB" w14:textId="59A2B26A" w:rsidR="0005788B" w:rsidRPr="00031EE8" w:rsidRDefault="003B41E7" w:rsidP="00031EE8">
      <w:pPr>
        <w:jc w:val="both"/>
        <w:rPr>
          <w:color w:val="4C4C4C"/>
          <w:sz w:val="24"/>
          <w:szCs w:val="24"/>
        </w:rPr>
      </w:pPr>
      <w:r w:rsidRPr="00031EE8">
        <w:rPr>
          <w:color w:val="4C4C4C"/>
          <w:sz w:val="24"/>
          <w:szCs w:val="24"/>
        </w:rPr>
        <w:t xml:space="preserve">O processo de </w:t>
      </w:r>
      <w:r w:rsidR="0005788B" w:rsidRPr="00031EE8">
        <w:rPr>
          <w:color w:val="4C4C4C"/>
          <w:sz w:val="24"/>
          <w:szCs w:val="24"/>
        </w:rPr>
        <w:t xml:space="preserve">classificação </w:t>
      </w:r>
      <w:r w:rsidR="008C1EB5" w:rsidRPr="00031EE8">
        <w:rPr>
          <w:color w:val="4C4C4C"/>
          <w:sz w:val="24"/>
          <w:szCs w:val="24"/>
        </w:rPr>
        <w:t xml:space="preserve">tem por </w:t>
      </w:r>
      <w:r w:rsidR="00E33E87" w:rsidRPr="00031EE8">
        <w:rPr>
          <w:color w:val="4C4C4C"/>
          <w:sz w:val="24"/>
          <w:szCs w:val="24"/>
        </w:rPr>
        <w:t xml:space="preserve">objetivo avaliar </w:t>
      </w:r>
      <w:r w:rsidR="0005788B" w:rsidRPr="00031EE8">
        <w:rPr>
          <w:color w:val="4C4C4C"/>
          <w:sz w:val="24"/>
          <w:szCs w:val="24"/>
        </w:rPr>
        <w:t xml:space="preserve">a capacidade econômica dos agentes comercializadores, e classificá-los em dois tipos, de acordo com seu </w:t>
      </w:r>
      <w:r w:rsidR="000A0777">
        <w:rPr>
          <w:color w:val="4C4C4C"/>
          <w:sz w:val="24"/>
          <w:szCs w:val="24"/>
        </w:rPr>
        <w:t>P</w:t>
      </w:r>
      <w:r w:rsidR="0005788B" w:rsidRPr="00031EE8">
        <w:rPr>
          <w:color w:val="4C4C4C"/>
          <w:sz w:val="24"/>
          <w:szCs w:val="24"/>
        </w:rPr>
        <w:t xml:space="preserve">atrimônio </w:t>
      </w:r>
      <w:r w:rsidR="000A0777">
        <w:rPr>
          <w:color w:val="4C4C4C"/>
          <w:sz w:val="24"/>
          <w:szCs w:val="24"/>
        </w:rPr>
        <w:t>L</w:t>
      </w:r>
      <w:r w:rsidR="0005788B" w:rsidRPr="00031EE8">
        <w:rPr>
          <w:color w:val="4C4C4C"/>
          <w:sz w:val="24"/>
          <w:szCs w:val="24"/>
        </w:rPr>
        <w:t>íquido</w:t>
      </w:r>
      <w:r w:rsidR="004B1729">
        <w:rPr>
          <w:color w:val="4C4C4C"/>
          <w:sz w:val="24"/>
          <w:szCs w:val="24"/>
        </w:rPr>
        <w:t xml:space="preserve"> declarado no balanço patrimonial</w:t>
      </w:r>
      <w:r w:rsidR="00DD6394" w:rsidRPr="00031EE8">
        <w:rPr>
          <w:color w:val="4C4C4C"/>
          <w:sz w:val="24"/>
          <w:szCs w:val="24"/>
        </w:rPr>
        <w:t>. O tipo é definido pela marca de R$ 10.000.000,00 (dez milhões de reais) atualizados anualmente pelo IPCA com data-base o mês de maio de 2022, da seguinte forma:</w:t>
      </w:r>
    </w:p>
    <w:p w14:paraId="4D599D2B" w14:textId="6A3FC2A1" w:rsidR="0005788B" w:rsidRPr="000A0777" w:rsidRDefault="0005788B" w:rsidP="000A0777">
      <w:pPr>
        <w:pStyle w:val="PargrafodaLista"/>
        <w:numPr>
          <w:ilvl w:val="0"/>
          <w:numId w:val="1"/>
        </w:numPr>
        <w:jc w:val="both"/>
        <w:rPr>
          <w:color w:val="4C4C4C"/>
          <w:sz w:val="24"/>
          <w:szCs w:val="24"/>
        </w:rPr>
      </w:pPr>
      <w:r w:rsidRPr="000A0777">
        <w:rPr>
          <w:b/>
          <w:bCs/>
          <w:color w:val="4C4C4C"/>
          <w:sz w:val="24"/>
          <w:szCs w:val="24"/>
        </w:rPr>
        <w:lastRenderedPageBreak/>
        <w:t>Tipo 1:</w:t>
      </w:r>
      <w:r w:rsidRPr="000A0777">
        <w:rPr>
          <w:color w:val="4C4C4C"/>
          <w:sz w:val="24"/>
          <w:szCs w:val="24"/>
        </w:rPr>
        <w:t xml:space="preserve"> </w:t>
      </w:r>
      <w:r w:rsidR="00E456DE">
        <w:rPr>
          <w:color w:val="4C4C4C"/>
          <w:sz w:val="24"/>
          <w:szCs w:val="24"/>
        </w:rPr>
        <w:t>P</w:t>
      </w:r>
      <w:r w:rsidRPr="000A0777">
        <w:rPr>
          <w:color w:val="4C4C4C"/>
          <w:sz w:val="24"/>
          <w:szCs w:val="24"/>
        </w:rPr>
        <w:t xml:space="preserve">atrimônio </w:t>
      </w:r>
      <w:r w:rsidR="00E456DE">
        <w:rPr>
          <w:color w:val="4C4C4C"/>
          <w:sz w:val="24"/>
          <w:szCs w:val="24"/>
        </w:rPr>
        <w:t>L</w:t>
      </w:r>
      <w:r w:rsidRPr="000A0777">
        <w:rPr>
          <w:color w:val="4C4C4C"/>
          <w:sz w:val="24"/>
          <w:szCs w:val="24"/>
        </w:rPr>
        <w:t xml:space="preserve">íquido </w:t>
      </w:r>
      <w:r w:rsidR="002B09B1">
        <w:rPr>
          <w:color w:val="4C4C4C"/>
          <w:sz w:val="24"/>
          <w:szCs w:val="24"/>
        </w:rPr>
        <w:t xml:space="preserve">igual ou </w:t>
      </w:r>
      <w:r w:rsidRPr="000A0777">
        <w:rPr>
          <w:color w:val="4C4C4C"/>
          <w:sz w:val="24"/>
          <w:szCs w:val="24"/>
        </w:rPr>
        <w:t xml:space="preserve">superior </w:t>
      </w:r>
      <w:r w:rsidR="00DD6394" w:rsidRPr="000A0777">
        <w:rPr>
          <w:color w:val="4C4C4C"/>
          <w:sz w:val="24"/>
          <w:szCs w:val="24"/>
        </w:rPr>
        <w:t>à referida marca</w:t>
      </w:r>
      <w:r w:rsidRPr="000A0777">
        <w:rPr>
          <w:color w:val="4C4C4C"/>
          <w:sz w:val="24"/>
          <w:szCs w:val="24"/>
        </w:rPr>
        <w:t>.</w:t>
      </w:r>
      <w:r w:rsidR="00DD6394" w:rsidRPr="000A0777">
        <w:rPr>
          <w:color w:val="4C4C4C"/>
          <w:sz w:val="24"/>
          <w:szCs w:val="24"/>
        </w:rPr>
        <w:t xml:space="preserve"> Os agentes </w:t>
      </w:r>
      <w:r w:rsidR="002F0FAF">
        <w:rPr>
          <w:color w:val="4C4C4C"/>
          <w:sz w:val="24"/>
          <w:szCs w:val="24"/>
        </w:rPr>
        <w:t>assim classificados</w:t>
      </w:r>
      <w:r w:rsidR="00DD6394" w:rsidRPr="000A0777">
        <w:rPr>
          <w:color w:val="4C4C4C"/>
          <w:sz w:val="24"/>
          <w:szCs w:val="24"/>
        </w:rPr>
        <w:t xml:space="preserve"> não possuem restrições nos montantes de energia vendida.</w:t>
      </w:r>
    </w:p>
    <w:p w14:paraId="5919438B" w14:textId="38205AAF" w:rsidR="00C034F5" w:rsidRPr="000A0777" w:rsidRDefault="00DD6394" w:rsidP="000A0777">
      <w:pPr>
        <w:pStyle w:val="PargrafodaLista"/>
        <w:numPr>
          <w:ilvl w:val="0"/>
          <w:numId w:val="1"/>
        </w:numPr>
        <w:jc w:val="both"/>
        <w:rPr>
          <w:color w:val="4C4C4C"/>
          <w:sz w:val="24"/>
          <w:szCs w:val="24"/>
        </w:rPr>
      </w:pPr>
      <w:r w:rsidRPr="002F0FAF">
        <w:rPr>
          <w:b/>
          <w:bCs/>
          <w:color w:val="4C4C4C"/>
          <w:sz w:val="24"/>
          <w:szCs w:val="24"/>
        </w:rPr>
        <w:t>Tipo 2:</w:t>
      </w:r>
      <w:r w:rsidRPr="000A0777">
        <w:rPr>
          <w:color w:val="4C4C4C"/>
          <w:sz w:val="24"/>
          <w:szCs w:val="24"/>
        </w:rPr>
        <w:t xml:space="preserve"> </w:t>
      </w:r>
      <w:r w:rsidR="002F0FAF">
        <w:rPr>
          <w:color w:val="4C4C4C"/>
          <w:sz w:val="24"/>
          <w:szCs w:val="24"/>
        </w:rPr>
        <w:t>P</w:t>
      </w:r>
      <w:r w:rsidRPr="000A0777">
        <w:rPr>
          <w:color w:val="4C4C4C"/>
          <w:sz w:val="24"/>
          <w:szCs w:val="24"/>
        </w:rPr>
        <w:t xml:space="preserve">atrimônio </w:t>
      </w:r>
      <w:r w:rsidR="002F0FAF">
        <w:rPr>
          <w:color w:val="4C4C4C"/>
          <w:sz w:val="24"/>
          <w:szCs w:val="24"/>
        </w:rPr>
        <w:t>L</w:t>
      </w:r>
      <w:r w:rsidRPr="000A0777">
        <w:rPr>
          <w:color w:val="4C4C4C"/>
          <w:sz w:val="24"/>
          <w:szCs w:val="24"/>
        </w:rPr>
        <w:t>íquido inferior à referida marca. Os agentes</w:t>
      </w:r>
      <w:r w:rsidR="002F0FAF">
        <w:rPr>
          <w:color w:val="4C4C4C"/>
          <w:sz w:val="24"/>
          <w:szCs w:val="24"/>
        </w:rPr>
        <w:t xml:space="preserve"> assim classificados</w:t>
      </w:r>
      <w:r w:rsidRPr="000A0777">
        <w:rPr>
          <w:color w:val="4C4C4C"/>
          <w:sz w:val="24"/>
          <w:szCs w:val="24"/>
        </w:rPr>
        <w:t xml:space="preserve"> possuem restrição de 30</w:t>
      </w:r>
      <w:r w:rsidR="00631406">
        <w:rPr>
          <w:color w:val="4C4C4C"/>
          <w:sz w:val="24"/>
          <w:szCs w:val="24"/>
        </w:rPr>
        <w:t>MW</w:t>
      </w:r>
      <w:r w:rsidRPr="000A0777">
        <w:rPr>
          <w:color w:val="4C4C4C"/>
          <w:sz w:val="24"/>
          <w:szCs w:val="24"/>
        </w:rPr>
        <w:t>médios de venda</w:t>
      </w:r>
      <w:r w:rsidR="000245EE">
        <w:rPr>
          <w:color w:val="4C4C4C"/>
          <w:sz w:val="24"/>
          <w:szCs w:val="24"/>
        </w:rPr>
        <w:t xml:space="preserve"> divididos entre matriz e filiais</w:t>
      </w:r>
      <w:r w:rsidR="00124759">
        <w:rPr>
          <w:color w:val="4C4C4C"/>
          <w:sz w:val="24"/>
          <w:szCs w:val="24"/>
        </w:rPr>
        <w:t>, conforme regulação vigente</w:t>
      </w:r>
      <w:r w:rsidRPr="000A0777">
        <w:rPr>
          <w:color w:val="4C4C4C"/>
          <w:sz w:val="24"/>
          <w:szCs w:val="24"/>
        </w:rPr>
        <w:t>.</w:t>
      </w:r>
    </w:p>
    <w:p w14:paraId="2E157DD9" w14:textId="11551414" w:rsidR="00DD6394" w:rsidRPr="009E6B1C" w:rsidRDefault="00E33E87" w:rsidP="009E6B1C">
      <w:pPr>
        <w:pStyle w:val="Ttulo3"/>
        <w:rPr>
          <w:rFonts w:asciiTheme="minorHAnsi" w:hAnsiTheme="minorHAnsi" w:cstheme="minorHAnsi"/>
          <w:color w:val="06038D"/>
        </w:rPr>
      </w:pPr>
      <w:bookmarkStart w:id="4" w:name="_Toc187317777"/>
      <w:r w:rsidRPr="009E6B1C">
        <w:rPr>
          <w:rFonts w:asciiTheme="minorHAnsi" w:hAnsiTheme="minorHAnsi" w:cstheme="minorHAnsi"/>
          <w:color w:val="06038D"/>
        </w:rPr>
        <w:t xml:space="preserve">2.1.2 </w:t>
      </w:r>
      <w:r w:rsidR="00BE46D4" w:rsidRPr="009E6B1C">
        <w:rPr>
          <w:rFonts w:asciiTheme="minorHAnsi" w:hAnsiTheme="minorHAnsi" w:cstheme="minorHAnsi"/>
          <w:color w:val="06038D"/>
        </w:rPr>
        <w:t>–</w:t>
      </w:r>
      <w:r w:rsidRPr="009E6B1C">
        <w:rPr>
          <w:rFonts w:asciiTheme="minorHAnsi" w:hAnsiTheme="minorHAnsi" w:cstheme="minorHAnsi"/>
          <w:color w:val="06038D"/>
        </w:rPr>
        <w:t xml:space="preserve"> </w:t>
      </w:r>
      <w:r w:rsidR="00DD6394" w:rsidRPr="009E6B1C">
        <w:rPr>
          <w:rFonts w:asciiTheme="minorHAnsi" w:hAnsiTheme="minorHAnsi" w:cstheme="minorHAnsi"/>
          <w:color w:val="06038D"/>
        </w:rPr>
        <w:t>Q</w:t>
      </w:r>
      <w:r w:rsidR="00002863" w:rsidRPr="009E6B1C">
        <w:rPr>
          <w:rFonts w:asciiTheme="minorHAnsi" w:hAnsiTheme="minorHAnsi" w:cstheme="minorHAnsi"/>
          <w:color w:val="06038D"/>
        </w:rPr>
        <w:t>uais informações devo enviar</w:t>
      </w:r>
      <w:r w:rsidR="00BE46D4" w:rsidRPr="009E6B1C">
        <w:rPr>
          <w:rFonts w:asciiTheme="minorHAnsi" w:hAnsiTheme="minorHAnsi" w:cstheme="minorHAnsi"/>
          <w:color w:val="06038D"/>
        </w:rPr>
        <w:t>?</w:t>
      </w:r>
      <w:bookmarkEnd w:id="4"/>
    </w:p>
    <w:p w14:paraId="079E271A" w14:textId="0F736C30" w:rsidR="00E33E87" w:rsidRDefault="00DD6394" w:rsidP="00031EE8">
      <w:pPr>
        <w:jc w:val="both"/>
        <w:rPr>
          <w:color w:val="4C4C4C"/>
          <w:sz w:val="24"/>
          <w:szCs w:val="24"/>
        </w:rPr>
      </w:pPr>
      <w:r w:rsidRPr="00031EE8">
        <w:rPr>
          <w:color w:val="4C4C4C"/>
          <w:sz w:val="24"/>
          <w:szCs w:val="24"/>
        </w:rPr>
        <w:t xml:space="preserve">Para o processo de classificação, é necessário que o agente envie seu </w:t>
      </w:r>
      <w:r w:rsidR="00BE22B6" w:rsidRPr="00BE22B6">
        <w:rPr>
          <w:color w:val="4C4C4C"/>
          <w:sz w:val="24"/>
          <w:szCs w:val="24"/>
        </w:rPr>
        <w:t xml:space="preserve">Balanço </w:t>
      </w:r>
      <w:r w:rsidR="00BE22B6">
        <w:rPr>
          <w:color w:val="4C4C4C"/>
          <w:sz w:val="24"/>
          <w:szCs w:val="24"/>
        </w:rPr>
        <w:t>P</w:t>
      </w:r>
      <w:r w:rsidR="00BE22B6" w:rsidRPr="00BE22B6">
        <w:rPr>
          <w:color w:val="4C4C4C"/>
          <w:sz w:val="24"/>
          <w:szCs w:val="24"/>
        </w:rPr>
        <w:t>atrimonial auditado, por empresa independente, credenciada na CVM e sem vínculo com a empresa auditada conforme regulamentação vigente, e assinado pelo profissional de contabilidade, com registro profissional regular no Conselho Regional de Contabilidade - CRC, referente ao ano fiscal imediatamente anterior ao corrente, podendo adicionalmente apresentar balanço patrimonial (mensal ou trimestral) auditado e assinado, nos termos supracitados, referente ao ano corrente.</w:t>
      </w:r>
    </w:p>
    <w:p w14:paraId="20EC77DE" w14:textId="7BE95270" w:rsidR="00041833" w:rsidRDefault="00041833" w:rsidP="00041833">
      <w:pPr>
        <w:pStyle w:val="Ttulo2"/>
        <w:rPr>
          <w:rFonts w:asciiTheme="minorHAnsi" w:hAnsiTheme="minorHAnsi" w:cstheme="minorHAnsi"/>
          <w:color w:val="06038D"/>
          <w:sz w:val="28"/>
          <w:szCs w:val="28"/>
        </w:rPr>
      </w:pPr>
      <w:bookmarkStart w:id="5" w:name="_Toc187159871"/>
      <w:bookmarkStart w:id="6" w:name="_Toc187317778"/>
      <w:r>
        <w:rPr>
          <w:rFonts w:asciiTheme="minorHAnsi" w:hAnsiTheme="minorHAnsi" w:cstheme="minorHAnsi"/>
          <w:color w:val="06038D"/>
          <w:sz w:val="28"/>
          <w:szCs w:val="28"/>
        </w:rPr>
        <w:t xml:space="preserve">2.2 </w:t>
      </w:r>
      <w:r w:rsidRPr="00B73BCD">
        <w:rPr>
          <w:rFonts w:asciiTheme="minorHAnsi" w:hAnsiTheme="minorHAnsi" w:cstheme="minorHAnsi"/>
          <w:color w:val="06038D"/>
          <w:sz w:val="28"/>
          <w:szCs w:val="28"/>
        </w:rPr>
        <w:t xml:space="preserve">Período da </w:t>
      </w:r>
      <w:bookmarkEnd w:id="5"/>
      <w:r>
        <w:rPr>
          <w:rFonts w:asciiTheme="minorHAnsi" w:hAnsiTheme="minorHAnsi" w:cstheme="minorHAnsi"/>
          <w:color w:val="06038D"/>
          <w:sz w:val="28"/>
          <w:szCs w:val="28"/>
        </w:rPr>
        <w:t>classificação</w:t>
      </w:r>
      <w:bookmarkEnd w:id="6"/>
    </w:p>
    <w:p w14:paraId="617D2647" w14:textId="77777777" w:rsidR="00041833" w:rsidRPr="00041833" w:rsidRDefault="00041833" w:rsidP="00041833"/>
    <w:p w14:paraId="0609DB64" w14:textId="013403B7" w:rsidR="00041833" w:rsidRPr="00041833" w:rsidRDefault="00041833" w:rsidP="00041833">
      <w:pPr>
        <w:pStyle w:val="Ttulo3"/>
        <w:rPr>
          <w:rFonts w:asciiTheme="minorHAnsi" w:hAnsiTheme="minorHAnsi" w:cstheme="minorHAnsi"/>
          <w:color w:val="06038D"/>
        </w:rPr>
      </w:pPr>
      <w:bookmarkStart w:id="7" w:name="_Toc187317779"/>
      <w:r w:rsidRPr="00041833">
        <w:rPr>
          <w:rFonts w:asciiTheme="minorHAnsi" w:hAnsiTheme="minorHAnsi" w:cstheme="minorHAnsi"/>
          <w:color w:val="06038D"/>
        </w:rPr>
        <w:t>2.</w:t>
      </w:r>
      <w:r>
        <w:rPr>
          <w:rFonts w:asciiTheme="minorHAnsi" w:hAnsiTheme="minorHAnsi" w:cstheme="minorHAnsi"/>
          <w:color w:val="06038D"/>
        </w:rPr>
        <w:t>2.1</w:t>
      </w:r>
      <w:r w:rsidRPr="00041833">
        <w:rPr>
          <w:rFonts w:asciiTheme="minorHAnsi" w:hAnsiTheme="minorHAnsi" w:cstheme="minorHAnsi"/>
          <w:color w:val="06038D"/>
        </w:rPr>
        <w:t xml:space="preserve"> – Qua</w:t>
      </w:r>
      <w:r w:rsidR="00604708">
        <w:rPr>
          <w:rFonts w:asciiTheme="minorHAnsi" w:hAnsiTheme="minorHAnsi" w:cstheme="minorHAnsi"/>
          <w:color w:val="06038D"/>
        </w:rPr>
        <w:t>l o prazo para envio das informações</w:t>
      </w:r>
      <w:r w:rsidRPr="00041833">
        <w:rPr>
          <w:rFonts w:asciiTheme="minorHAnsi" w:hAnsiTheme="minorHAnsi" w:cstheme="minorHAnsi"/>
          <w:color w:val="06038D"/>
        </w:rPr>
        <w:t>?</w:t>
      </w:r>
      <w:bookmarkEnd w:id="7"/>
    </w:p>
    <w:p w14:paraId="26807CA9" w14:textId="43135AC1" w:rsidR="00C034F5" w:rsidRDefault="00041833" w:rsidP="00041506">
      <w:pPr>
        <w:spacing w:line="240" w:lineRule="auto"/>
        <w:jc w:val="both"/>
      </w:pPr>
      <w:r w:rsidRPr="00441E32">
        <w:rPr>
          <w:color w:val="4C4C4C"/>
          <w:sz w:val="24"/>
          <w:szCs w:val="24"/>
        </w:rPr>
        <w:t xml:space="preserve">Conforme regulação vigente, o envio do </w:t>
      </w:r>
      <w:r w:rsidR="00557983">
        <w:rPr>
          <w:color w:val="4C4C4C"/>
          <w:sz w:val="24"/>
          <w:szCs w:val="24"/>
        </w:rPr>
        <w:t>B</w:t>
      </w:r>
      <w:r w:rsidRPr="00441E32">
        <w:rPr>
          <w:color w:val="4C4C4C"/>
          <w:sz w:val="24"/>
          <w:szCs w:val="24"/>
        </w:rPr>
        <w:t xml:space="preserve">alanço </w:t>
      </w:r>
      <w:r w:rsidR="001E79A3">
        <w:rPr>
          <w:color w:val="4C4C4C"/>
          <w:sz w:val="24"/>
          <w:szCs w:val="24"/>
        </w:rPr>
        <w:t>P</w:t>
      </w:r>
      <w:r w:rsidRPr="00441E32">
        <w:rPr>
          <w:color w:val="4C4C4C"/>
          <w:sz w:val="24"/>
          <w:szCs w:val="24"/>
        </w:rPr>
        <w:t xml:space="preserve">atrimonial auditado para a classificação ocorre </w:t>
      </w:r>
      <w:r w:rsidR="001E79A3">
        <w:rPr>
          <w:color w:val="4C4C4C"/>
          <w:sz w:val="24"/>
          <w:szCs w:val="24"/>
        </w:rPr>
        <w:t xml:space="preserve">anualmente, </w:t>
      </w:r>
      <w:r w:rsidR="009B2065">
        <w:rPr>
          <w:color w:val="4C4C4C"/>
          <w:sz w:val="24"/>
          <w:szCs w:val="24"/>
        </w:rPr>
        <w:t>até o final do</w:t>
      </w:r>
      <w:r w:rsidR="001E79A3">
        <w:rPr>
          <w:color w:val="4C4C4C"/>
          <w:sz w:val="24"/>
          <w:szCs w:val="24"/>
        </w:rPr>
        <w:t xml:space="preserve"> mês de </w:t>
      </w:r>
      <w:r w:rsidRPr="00441E32">
        <w:rPr>
          <w:color w:val="4C4C4C"/>
          <w:sz w:val="24"/>
          <w:szCs w:val="24"/>
        </w:rPr>
        <w:t>abril. Durante o referido mês, a CCEE recebe e analisa as informações de todos os agentes comercializadores, e deve divulgar</w:t>
      </w:r>
      <w:r w:rsidR="000F57D1">
        <w:rPr>
          <w:color w:val="4C4C4C"/>
          <w:sz w:val="24"/>
          <w:szCs w:val="24"/>
        </w:rPr>
        <w:t>, em seu site</w:t>
      </w:r>
      <w:r w:rsidR="00AA508A">
        <w:rPr>
          <w:color w:val="4C4C4C"/>
          <w:sz w:val="24"/>
          <w:szCs w:val="24"/>
        </w:rPr>
        <w:t xml:space="preserve">, o resultado da </w:t>
      </w:r>
      <w:r w:rsidRPr="00441E32">
        <w:rPr>
          <w:color w:val="4C4C4C"/>
          <w:sz w:val="24"/>
          <w:szCs w:val="24"/>
        </w:rPr>
        <w:t>classificação até o final do mês de maio</w:t>
      </w:r>
      <w:r w:rsidR="00AA508A">
        <w:rPr>
          <w:color w:val="4C4C4C"/>
          <w:sz w:val="24"/>
          <w:szCs w:val="24"/>
        </w:rPr>
        <w:t xml:space="preserve">. </w:t>
      </w:r>
    </w:p>
    <w:p w14:paraId="7DBCDD6E" w14:textId="1A56A8D0" w:rsidR="00DD6394" w:rsidRPr="00790F91" w:rsidRDefault="00E57409" w:rsidP="00790F91">
      <w:pPr>
        <w:pStyle w:val="Ttulo3"/>
        <w:rPr>
          <w:rFonts w:asciiTheme="minorHAnsi" w:hAnsiTheme="minorHAnsi" w:cstheme="minorHAnsi"/>
          <w:color w:val="06038D"/>
        </w:rPr>
      </w:pPr>
      <w:bookmarkStart w:id="8" w:name="_Toc187317780"/>
      <w:r w:rsidRPr="00790F91">
        <w:rPr>
          <w:rFonts w:asciiTheme="minorHAnsi" w:hAnsiTheme="minorHAnsi" w:cstheme="minorHAnsi"/>
          <w:color w:val="06038D"/>
        </w:rPr>
        <w:t>2.</w:t>
      </w:r>
      <w:r w:rsidR="00790F91">
        <w:rPr>
          <w:rFonts w:asciiTheme="minorHAnsi" w:hAnsiTheme="minorHAnsi" w:cstheme="minorHAnsi"/>
          <w:color w:val="06038D"/>
        </w:rPr>
        <w:t>2.2</w:t>
      </w:r>
      <w:r w:rsidRPr="00790F91">
        <w:rPr>
          <w:rFonts w:asciiTheme="minorHAnsi" w:hAnsiTheme="minorHAnsi" w:cstheme="minorHAnsi"/>
          <w:color w:val="06038D"/>
        </w:rPr>
        <w:t xml:space="preserve"> – </w:t>
      </w:r>
      <w:r w:rsidR="000725BE">
        <w:rPr>
          <w:rFonts w:asciiTheme="minorHAnsi" w:hAnsiTheme="minorHAnsi" w:cstheme="minorHAnsi"/>
          <w:color w:val="06038D"/>
        </w:rPr>
        <w:t>Como eu realizo o envio das informações</w:t>
      </w:r>
      <w:r w:rsidRPr="00790F91">
        <w:rPr>
          <w:rFonts w:asciiTheme="minorHAnsi" w:hAnsiTheme="minorHAnsi" w:cstheme="minorHAnsi"/>
          <w:color w:val="06038D"/>
        </w:rPr>
        <w:t>?</w:t>
      </w:r>
      <w:bookmarkEnd w:id="8"/>
      <w:r w:rsidR="00F60A74" w:rsidRPr="00790F91">
        <w:rPr>
          <w:rFonts w:asciiTheme="minorHAnsi" w:hAnsiTheme="minorHAnsi" w:cstheme="minorHAnsi"/>
          <w:color w:val="06038D"/>
        </w:rPr>
        <w:t xml:space="preserve"> </w:t>
      </w:r>
    </w:p>
    <w:p w14:paraId="1EF820D8" w14:textId="003D7B2A" w:rsidR="00C034F5" w:rsidRDefault="00DD6394" w:rsidP="00041506">
      <w:pPr>
        <w:spacing w:line="240" w:lineRule="auto"/>
        <w:jc w:val="both"/>
        <w:rPr>
          <w:color w:val="4C4C4C"/>
          <w:sz w:val="24"/>
          <w:szCs w:val="24"/>
        </w:rPr>
      </w:pPr>
      <w:r w:rsidRPr="001A66BA">
        <w:rPr>
          <w:color w:val="4C4C4C"/>
          <w:sz w:val="24"/>
          <w:szCs w:val="24"/>
        </w:rPr>
        <w:t xml:space="preserve">O </w:t>
      </w:r>
      <w:r w:rsidR="001A66BA">
        <w:rPr>
          <w:color w:val="4C4C4C"/>
          <w:sz w:val="24"/>
          <w:szCs w:val="24"/>
        </w:rPr>
        <w:t>B</w:t>
      </w:r>
      <w:r w:rsidRPr="001A66BA">
        <w:rPr>
          <w:color w:val="4C4C4C"/>
          <w:sz w:val="24"/>
          <w:szCs w:val="24"/>
        </w:rPr>
        <w:t xml:space="preserve">alanço </w:t>
      </w:r>
      <w:r w:rsidR="001A66BA">
        <w:rPr>
          <w:color w:val="4C4C4C"/>
          <w:sz w:val="24"/>
          <w:szCs w:val="24"/>
        </w:rPr>
        <w:t>P</w:t>
      </w:r>
      <w:r w:rsidR="00D82FBE" w:rsidRPr="001A66BA">
        <w:rPr>
          <w:color w:val="4C4C4C"/>
          <w:sz w:val="24"/>
          <w:szCs w:val="24"/>
        </w:rPr>
        <w:t xml:space="preserve">atrimonial auditado </w:t>
      </w:r>
      <w:r w:rsidRPr="001A66BA">
        <w:rPr>
          <w:color w:val="4C4C4C"/>
          <w:sz w:val="24"/>
          <w:szCs w:val="24"/>
        </w:rPr>
        <w:t>deve ser</w:t>
      </w:r>
      <w:r w:rsidR="00A50F2D">
        <w:rPr>
          <w:color w:val="4C4C4C"/>
          <w:sz w:val="24"/>
          <w:szCs w:val="24"/>
        </w:rPr>
        <w:t xml:space="preserve"> </w:t>
      </w:r>
      <w:r w:rsidR="00A50F2D" w:rsidRPr="00A50F2D">
        <w:rPr>
          <w:color w:val="4C4C4C"/>
          <w:sz w:val="24"/>
          <w:szCs w:val="24"/>
        </w:rPr>
        <w:t>anexado em tarefa específica</w:t>
      </w:r>
      <w:r w:rsidRPr="001A66BA">
        <w:rPr>
          <w:color w:val="4C4C4C"/>
          <w:sz w:val="24"/>
          <w:szCs w:val="24"/>
        </w:rPr>
        <w:t xml:space="preserve"> </w:t>
      </w:r>
      <w:r w:rsidR="00A50F2D">
        <w:rPr>
          <w:color w:val="4C4C4C"/>
          <w:sz w:val="24"/>
          <w:szCs w:val="24"/>
        </w:rPr>
        <w:t xml:space="preserve">e </w:t>
      </w:r>
      <w:r w:rsidRPr="001A66BA">
        <w:rPr>
          <w:color w:val="4C4C4C"/>
          <w:sz w:val="24"/>
          <w:szCs w:val="24"/>
        </w:rPr>
        <w:t>enviado pelo ambiente de operações da CCEE</w:t>
      </w:r>
      <w:r w:rsidR="003D09DF" w:rsidRPr="001A66BA">
        <w:rPr>
          <w:color w:val="4C4C4C"/>
          <w:sz w:val="24"/>
          <w:szCs w:val="24"/>
        </w:rPr>
        <w:t>.</w:t>
      </w:r>
      <w:r w:rsidRPr="001A66BA">
        <w:rPr>
          <w:color w:val="4C4C4C"/>
          <w:sz w:val="24"/>
          <w:szCs w:val="24"/>
        </w:rPr>
        <w:t xml:space="preserve"> </w:t>
      </w:r>
      <w:r w:rsidR="00465A3D">
        <w:rPr>
          <w:color w:val="4C4C4C"/>
          <w:sz w:val="24"/>
          <w:szCs w:val="24"/>
        </w:rPr>
        <w:t>Para auxílio com as telas, é possível acessar o tutorial</w:t>
      </w:r>
      <w:r w:rsidR="0091698A">
        <w:rPr>
          <w:color w:val="4C4C4C"/>
          <w:sz w:val="24"/>
          <w:szCs w:val="24"/>
        </w:rPr>
        <w:t xml:space="preserve"> disponível em</w:t>
      </w:r>
      <w:r w:rsidR="00465A3D">
        <w:rPr>
          <w:color w:val="4C4C4C"/>
          <w:sz w:val="24"/>
          <w:szCs w:val="24"/>
        </w:rPr>
        <w:t xml:space="preserve">: </w:t>
      </w:r>
      <w:hyperlink r:id="rId10" w:history="1">
        <w:r w:rsidR="00F52688" w:rsidRPr="00702296">
          <w:rPr>
            <w:rStyle w:val="Hyperlink"/>
            <w:sz w:val="24"/>
            <w:szCs w:val="24"/>
          </w:rPr>
          <w:t>https://www.youtube.com/watch?v=9s6JJp1afSk</w:t>
        </w:r>
      </w:hyperlink>
    </w:p>
    <w:p w14:paraId="0246E59B" w14:textId="2BA8C421" w:rsidR="006B7DFE" w:rsidRPr="00B73BCD" w:rsidRDefault="006B7DFE" w:rsidP="006B7DFE">
      <w:pPr>
        <w:pStyle w:val="Ttulo3"/>
        <w:rPr>
          <w:rFonts w:asciiTheme="minorHAnsi" w:hAnsiTheme="minorHAnsi" w:cstheme="minorHAnsi"/>
          <w:color w:val="06038D"/>
        </w:rPr>
      </w:pPr>
      <w:bookmarkStart w:id="9" w:name="_Toc187159877"/>
      <w:bookmarkStart w:id="10" w:name="_Toc187317781"/>
      <w:r w:rsidRPr="00B73BCD">
        <w:rPr>
          <w:rFonts w:asciiTheme="minorHAnsi" w:hAnsiTheme="minorHAnsi" w:cstheme="minorHAnsi"/>
          <w:color w:val="06038D"/>
        </w:rPr>
        <w:t>2.</w:t>
      </w:r>
      <w:r>
        <w:rPr>
          <w:rFonts w:asciiTheme="minorHAnsi" w:hAnsiTheme="minorHAnsi" w:cstheme="minorHAnsi"/>
          <w:color w:val="06038D"/>
        </w:rPr>
        <w:t>2.3</w:t>
      </w:r>
      <w:r w:rsidRPr="00B73BCD">
        <w:rPr>
          <w:rFonts w:asciiTheme="minorHAnsi" w:hAnsiTheme="minorHAnsi" w:cstheme="minorHAnsi"/>
          <w:color w:val="06038D"/>
        </w:rPr>
        <w:t xml:space="preserve"> Como acompanho o processo de </w:t>
      </w:r>
      <w:r w:rsidR="00F76CA5">
        <w:rPr>
          <w:rFonts w:asciiTheme="minorHAnsi" w:hAnsiTheme="minorHAnsi" w:cstheme="minorHAnsi"/>
          <w:color w:val="06038D"/>
        </w:rPr>
        <w:t>classificação</w:t>
      </w:r>
      <w:r w:rsidRPr="00B73BCD">
        <w:rPr>
          <w:rFonts w:asciiTheme="minorHAnsi" w:hAnsiTheme="minorHAnsi" w:cstheme="minorHAnsi"/>
          <w:color w:val="06038D"/>
        </w:rPr>
        <w:t>?</w:t>
      </w:r>
      <w:bookmarkEnd w:id="9"/>
      <w:bookmarkEnd w:id="10"/>
    </w:p>
    <w:p w14:paraId="03C1059B" w14:textId="02DFF76B" w:rsidR="00C1219E" w:rsidRDefault="0091698A" w:rsidP="006B7DFE">
      <w:pPr>
        <w:jc w:val="both"/>
        <w:rPr>
          <w:color w:val="4C4C4C"/>
          <w:sz w:val="24"/>
          <w:szCs w:val="24"/>
        </w:rPr>
      </w:pPr>
      <w:r>
        <w:rPr>
          <w:color w:val="4C4C4C"/>
          <w:sz w:val="24"/>
          <w:szCs w:val="24"/>
        </w:rPr>
        <w:t>A</w:t>
      </w:r>
      <w:r w:rsidRPr="00AE23C5">
        <w:rPr>
          <w:color w:val="4C4C4C"/>
          <w:sz w:val="24"/>
          <w:szCs w:val="24"/>
        </w:rPr>
        <w:t xml:space="preserve"> </w:t>
      </w:r>
      <w:r w:rsidR="006B7DFE" w:rsidRPr="00AE23C5">
        <w:rPr>
          <w:color w:val="4C4C4C"/>
          <w:sz w:val="24"/>
          <w:szCs w:val="24"/>
        </w:rPr>
        <w:t>regulação vigente</w:t>
      </w:r>
      <w:r>
        <w:rPr>
          <w:color w:val="4C4C4C"/>
          <w:sz w:val="24"/>
          <w:szCs w:val="24"/>
        </w:rPr>
        <w:t xml:space="preserve"> preceitua que</w:t>
      </w:r>
      <w:r w:rsidR="006B7DFE" w:rsidRPr="00AE23C5">
        <w:rPr>
          <w:color w:val="4C4C4C"/>
          <w:sz w:val="24"/>
          <w:szCs w:val="24"/>
        </w:rPr>
        <w:t xml:space="preserve">, </w:t>
      </w:r>
      <w:r w:rsidR="006B7DFE">
        <w:rPr>
          <w:color w:val="4C4C4C"/>
          <w:sz w:val="24"/>
          <w:szCs w:val="24"/>
        </w:rPr>
        <w:t>a</w:t>
      </w:r>
      <w:r w:rsidR="006B7DFE" w:rsidRPr="0086044A">
        <w:rPr>
          <w:color w:val="4C4C4C"/>
          <w:sz w:val="24"/>
          <w:szCs w:val="24"/>
        </w:rPr>
        <w:t xml:space="preserve"> CCEE deve divulgar, por meio do sistema específico, </w:t>
      </w:r>
      <w:r w:rsidR="00C1219E" w:rsidRPr="00C1219E">
        <w:rPr>
          <w:color w:val="4C4C4C"/>
          <w:sz w:val="24"/>
          <w:szCs w:val="24"/>
        </w:rPr>
        <w:t>a conclusão de sua análise e o resultado da classificação do tipo em até cinco dias úteis (5du) do recebimento das informações</w:t>
      </w:r>
      <w:r w:rsidR="00F656F3">
        <w:rPr>
          <w:color w:val="4C4C4C"/>
          <w:sz w:val="24"/>
          <w:szCs w:val="24"/>
        </w:rPr>
        <w:t xml:space="preserve">. </w:t>
      </w:r>
    </w:p>
    <w:p w14:paraId="74E3218E" w14:textId="0941BC62" w:rsidR="006B7DFE" w:rsidRDefault="006B7DFE" w:rsidP="006B7DFE">
      <w:pPr>
        <w:jc w:val="both"/>
        <w:rPr>
          <w:color w:val="4C4C4C"/>
          <w:sz w:val="24"/>
          <w:szCs w:val="24"/>
        </w:rPr>
      </w:pPr>
      <w:r>
        <w:rPr>
          <w:color w:val="4C4C4C"/>
          <w:sz w:val="24"/>
          <w:szCs w:val="24"/>
        </w:rPr>
        <w:t xml:space="preserve">Além disso, na tarefa específica do processo, o agente pode visualizar o status </w:t>
      </w:r>
      <w:r w:rsidR="00F656F3">
        <w:rPr>
          <w:color w:val="4C4C4C"/>
          <w:sz w:val="24"/>
          <w:szCs w:val="24"/>
        </w:rPr>
        <w:t>da análise</w:t>
      </w:r>
      <w:r>
        <w:rPr>
          <w:color w:val="4C4C4C"/>
          <w:sz w:val="24"/>
          <w:szCs w:val="24"/>
        </w:rPr>
        <w:t xml:space="preserve">, bem como comentários pertinentes realizados pela CCEE durante a análise. </w:t>
      </w:r>
    </w:p>
    <w:p w14:paraId="2AE968DF" w14:textId="7D74AF4A" w:rsidR="00BE015D" w:rsidRDefault="00BE015D" w:rsidP="00BE015D">
      <w:pPr>
        <w:pStyle w:val="Ttulo2"/>
        <w:rPr>
          <w:rFonts w:asciiTheme="minorHAnsi" w:hAnsiTheme="minorHAnsi" w:cstheme="minorHAnsi"/>
          <w:color w:val="06038D"/>
          <w:sz w:val="28"/>
          <w:szCs w:val="28"/>
        </w:rPr>
      </w:pPr>
      <w:bookmarkStart w:id="11" w:name="_Toc187317782"/>
      <w:r>
        <w:rPr>
          <w:rFonts w:asciiTheme="minorHAnsi" w:hAnsiTheme="minorHAnsi" w:cstheme="minorHAnsi"/>
          <w:color w:val="06038D"/>
          <w:sz w:val="28"/>
          <w:szCs w:val="28"/>
        </w:rPr>
        <w:t>2.3 Reclassificação</w:t>
      </w:r>
      <w:bookmarkEnd w:id="11"/>
    </w:p>
    <w:p w14:paraId="51C70073" w14:textId="77777777" w:rsidR="00C034F5" w:rsidRDefault="00C034F5" w:rsidP="003D09DF">
      <w:pPr>
        <w:spacing w:line="240" w:lineRule="auto"/>
        <w:jc w:val="both"/>
      </w:pPr>
    </w:p>
    <w:p w14:paraId="22E0FB98" w14:textId="55002262" w:rsidR="003D09DF" w:rsidRPr="0025575D" w:rsidRDefault="662A7876" w:rsidP="0025575D">
      <w:pPr>
        <w:pStyle w:val="Ttulo3"/>
        <w:rPr>
          <w:rFonts w:asciiTheme="minorHAnsi" w:hAnsiTheme="minorHAnsi" w:cstheme="minorHAnsi"/>
          <w:color w:val="06038D"/>
        </w:rPr>
      </w:pPr>
      <w:bookmarkStart w:id="12" w:name="_Toc187317783"/>
      <w:r w:rsidRPr="0025575D">
        <w:rPr>
          <w:rFonts w:asciiTheme="minorHAnsi" w:hAnsiTheme="minorHAnsi" w:cstheme="minorHAnsi"/>
          <w:color w:val="06038D"/>
        </w:rPr>
        <w:t>2.</w:t>
      </w:r>
      <w:r w:rsidR="0025575D">
        <w:rPr>
          <w:rFonts w:asciiTheme="minorHAnsi" w:hAnsiTheme="minorHAnsi" w:cstheme="minorHAnsi"/>
          <w:color w:val="06038D"/>
        </w:rPr>
        <w:t>3.1</w:t>
      </w:r>
      <w:r w:rsidRPr="0025575D">
        <w:rPr>
          <w:rFonts w:asciiTheme="minorHAnsi" w:hAnsiTheme="minorHAnsi" w:cstheme="minorHAnsi"/>
          <w:color w:val="06038D"/>
        </w:rPr>
        <w:t xml:space="preserve"> </w:t>
      </w:r>
      <w:r w:rsidR="003D09DF" w:rsidRPr="0025575D">
        <w:rPr>
          <w:rFonts w:asciiTheme="minorHAnsi" w:hAnsiTheme="minorHAnsi" w:cstheme="minorHAnsi"/>
          <w:color w:val="06038D"/>
        </w:rPr>
        <w:t>–</w:t>
      </w:r>
      <w:r w:rsidR="35C78D7E" w:rsidRPr="0025575D">
        <w:rPr>
          <w:rFonts w:asciiTheme="minorHAnsi" w:hAnsiTheme="minorHAnsi" w:cstheme="minorHAnsi"/>
          <w:color w:val="06038D"/>
        </w:rPr>
        <w:t xml:space="preserve"> </w:t>
      </w:r>
      <w:r w:rsidR="008C1EB5" w:rsidRPr="0025575D">
        <w:rPr>
          <w:rFonts w:asciiTheme="minorHAnsi" w:hAnsiTheme="minorHAnsi" w:cstheme="minorHAnsi"/>
          <w:color w:val="06038D"/>
        </w:rPr>
        <w:t xml:space="preserve">Caso eu </w:t>
      </w:r>
      <w:r w:rsidR="0025575D">
        <w:rPr>
          <w:rFonts w:asciiTheme="minorHAnsi" w:hAnsiTheme="minorHAnsi" w:cstheme="minorHAnsi"/>
          <w:color w:val="06038D"/>
        </w:rPr>
        <w:t xml:space="preserve">seja classificado </w:t>
      </w:r>
      <w:r w:rsidR="008C1EB5" w:rsidRPr="0025575D">
        <w:rPr>
          <w:rFonts w:asciiTheme="minorHAnsi" w:hAnsiTheme="minorHAnsi" w:cstheme="minorHAnsi"/>
          <w:color w:val="06038D"/>
        </w:rPr>
        <w:t xml:space="preserve">como </w:t>
      </w:r>
      <w:r w:rsidR="0025575D">
        <w:rPr>
          <w:rFonts w:asciiTheme="minorHAnsi" w:hAnsiTheme="minorHAnsi" w:cstheme="minorHAnsi"/>
          <w:color w:val="06038D"/>
        </w:rPr>
        <w:t>T</w:t>
      </w:r>
      <w:r w:rsidR="008C1EB5" w:rsidRPr="0025575D">
        <w:rPr>
          <w:rFonts w:asciiTheme="minorHAnsi" w:hAnsiTheme="minorHAnsi" w:cstheme="minorHAnsi"/>
          <w:color w:val="06038D"/>
        </w:rPr>
        <w:t xml:space="preserve">ipo 2, é possível pedir uma nova classificação para </w:t>
      </w:r>
      <w:r w:rsidR="0025575D">
        <w:rPr>
          <w:rFonts w:asciiTheme="minorHAnsi" w:hAnsiTheme="minorHAnsi" w:cstheme="minorHAnsi"/>
          <w:color w:val="06038D"/>
        </w:rPr>
        <w:t>T</w:t>
      </w:r>
      <w:r w:rsidR="008C1EB5" w:rsidRPr="0025575D">
        <w:rPr>
          <w:rFonts w:asciiTheme="minorHAnsi" w:hAnsiTheme="minorHAnsi" w:cstheme="minorHAnsi"/>
          <w:color w:val="06038D"/>
        </w:rPr>
        <w:t>ipo 1</w:t>
      </w:r>
      <w:r w:rsidRPr="0025575D">
        <w:rPr>
          <w:rFonts w:asciiTheme="minorHAnsi" w:hAnsiTheme="minorHAnsi" w:cstheme="minorHAnsi"/>
          <w:color w:val="06038D"/>
        </w:rPr>
        <w:t>?</w:t>
      </w:r>
      <w:bookmarkEnd w:id="12"/>
    </w:p>
    <w:p w14:paraId="6792A193" w14:textId="00F5BBC8" w:rsidR="003D09DF" w:rsidRPr="0025575D" w:rsidRDefault="008C1EB5" w:rsidP="0025575D">
      <w:pPr>
        <w:jc w:val="both"/>
        <w:rPr>
          <w:color w:val="4C4C4C"/>
          <w:sz w:val="24"/>
          <w:szCs w:val="24"/>
        </w:rPr>
      </w:pPr>
      <w:r w:rsidRPr="0025575D">
        <w:rPr>
          <w:color w:val="4C4C4C"/>
          <w:sz w:val="24"/>
          <w:szCs w:val="24"/>
        </w:rPr>
        <w:t>Sim, os agentes comercializadores que enviaram seus respectivos balanços patrimoniais auditados podem pedir a elevação do tipo</w:t>
      </w:r>
      <w:r w:rsidR="003D09DF" w:rsidRPr="0025575D">
        <w:rPr>
          <w:color w:val="4C4C4C"/>
          <w:sz w:val="24"/>
          <w:szCs w:val="24"/>
        </w:rPr>
        <w:t>.</w:t>
      </w:r>
      <w:r w:rsidRPr="0025575D">
        <w:rPr>
          <w:color w:val="4C4C4C"/>
          <w:sz w:val="24"/>
          <w:szCs w:val="24"/>
        </w:rPr>
        <w:t xml:space="preserve"> Para tanto, basta enviarem novo documento qu</w:t>
      </w:r>
      <w:r w:rsidR="009C65DA">
        <w:rPr>
          <w:color w:val="4C4C4C"/>
          <w:sz w:val="24"/>
          <w:szCs w:val="24"/>
        </w:rPr>
        <w:t xml:space="preserve">e apresente o valor mínimo exigido para classificação Tipo 1. </w:t>
      </w:r>
    </w:p>
    <w:p w14:paraId="0E66A0CA" w14:textId="763AE177" w:rsidR="008C1EB5" w:rsidRPr="0025575D" w:rsidRDefault="008C1EB5" w:rsidP="0025575D">
      <w:pPr>
        <w:jc w:val="both"/>
        <w:rPr>
          <w:color w:val="4C4C4C"/>
          <w:sz w:val="24"/>
          <w:szCs w:val="24"/>
        </w:rPr>
      </w:pPr>
      <w:r w:rsidRPr="0025575D">
        <w:rPr>
          <w:color w:val="4C4C4C"/>
          <w:sz w:val="24"/>
          <w:szCs w:val="24"/>
        </w:rPr>
        <w:lastRenderedPageBreak/>
        <w:t xml:space="preserve">Esse procedimento pode ser realizado a qualquer tempo, e valerá para o mês em que a análise do novo tipo for realizada pela CCEE (Exemplo: </w:t>
      </w:r>
      <w:r w:rsidR="006C7890">
        <w:rPr>
          <w:color w:val="4C4C4C"/>
          <w:sz w:val="24"/>
          <w:szCs w:val="24"/>
        </w:rPr>
        <w:t>C</w:t>
      </w:r>
      <w:r w:rsidRPr="0025575D">
        <w:rPr>
          <w:color w:val="4C4C4C"/>
          <w:sz w:val="24"/>
          <w:szCs w:val="24"/>
        </w:rPr>
        <w:t xml:space="preserve">aso o pedido </w:t>
      </w:r>
      <w:r w:rsidR="006C7890">
        <w:rPr>
          <w:color w:val="4C4C4C"/>
          <w:sz w:val="24"/>
          <w:szCs w:val="24"/>
        </w:rPr>
        <w:t xml:space="preserve">seja </w:t>
      </w:r>
      <w:r w:rsidRPr="0025575D">
        <w:rPr>
          <w:color w:val="4C4C4C"/>
          <w:sz w:val="24"/>
          <w:szCs w:val="24"/>
        </w:rPr>
        <w:t>realizado e analisado em dezembro, o novo tipo passará a valer a partir da contabilização do referido mês)</w:t>
      </w:r>
    </w:p>
    <w:p w14:paraId="3AFDA0C8" w14:textId="3A0E253F" w:rsidR="008C1EB5" w:rsidRPr="0025575D" w:rsidRDefault="008C1EB5" w:rsidP="0025575D">
      <w:pPr>
        <w:jc w:val="both"/>
        <w:rPr>
          <w:color w:val="4C4C4C"/>
          <w:sz w:val="24"/>
          <w:szCs w:val="24"/>
        </w:rPr>
      </w:pPr>
      <w:r w:rsidRPr="0025575D">
        <w:rPr>
          <w:color w:val="4C4C4C"/>
          <w:sz w:val="24"/>
          <w:szCs w:val="24"/>
        </w:rPr>
        <w:t xml:space="preserve">Por esse motivo, considerando que a CCEE possui até 5 dias úteis para análise, </w:t>
      </w:r>
      <w:r w:rsidR="006C7890">
        <w:rPr>
          <w:color w:val="4C4C4C"/>
          <w:sz w:val="24"/>
          <w:szCs w:val="24"/>
        </w:rPr>
        <w:t>orientamos</w:t>
      </w:r>
      <w:r w:rsidRPr="0025575D">
        <w:rPr>
          <w:color w:val="4C4C4C"/>
          <w:sz w:val="24"/>
          <w:szCs w:val="24"/>
        </w:rPr>
        <w:t xml:space="preserve"> que eventuais pedidos de reclassificação sejam feitos até o M-5 dias úteis caso o agente pretenda que o novo tipo passe a valer a partir do mesmo mês. De outro modo, o novo tipo passará a valer apenas no mês seguinte. </w:t>
      </w:r>
    </w:p>
    <w:p w14:paraId="7245A3B4" w14:textId="4CF3F2AB" w:rsidR="00C034F5" w:rsidRPr="0025575D" w:rsidRDefault="008C1EB5" w:rsidP="0025575D">
      <w:pPr>
        <w:jc w:val="both"/>
        <w:rPr>
          <w:color w:val="4C4C4C"/>
          <w:sz w:val="24"/>
          <w:szCs w:val="24"/>
        </w:rPr>
      </w:pPr>
      <w:r w:rsidRPr="0025575D">
        <w:rPr>
          <w:color w:val="4C4C4C"/>
          <w:sz w:val="24"/>
          <w:szCs w:val="24"/>
        </w:rPr>
        <w:t>Por fim, reforçamos que esse procedimento não pode ser realizado para os agentes que não enviaram seus respectivos balanços patrimoniais auditados</w:t>
      </w:r>
      <w:r w:rsidR="00CE58E8">
        <w:rPr>
          <w:color w:val="4C4C4C"/>
          <w:sz w:val="24"/>
          <w:szCs w:val="24"/>
        </w:rPr>
        <w:t xml:space="preserve"> no período ordinário (abril de cada ano)</w:t>
      </w:r>
      <w:r w:rsidRPr="0025575D">
        <w:rPr>
          <w:color w:val="4C4C4C"/>
          <w:sz w:val="24"/>
          <w:szCs w:val="24"/>
        </w:rPr>
        <w:t>.</w:t>
      </w:r>
    </w:p>
    <w:p w14:paraId="094D737D" w14:textId="3C246C8C" w:rsidR="00BE015D" w:rsidRDefault="00BE015D" w:rsidP="00BE015D">
      <w:pPr>
        <w:pStyle w:val="Ttulo2"/>
        <w:rPr>
          <w:rFonts w:asciiTheme="minorHAnsi" w:hAnsiTheme="minorHAnsi" w:cstheme="minorHAnsi"/>
          <w:color w:val="06038D"/>
          <w:sz w:val="28"/>
          <w:szCs w:val="28"/>
        </w:rPr>
      </w:pPr>
      <w:bookmarkStart w:id="13" w:name="_Toc187159876"/>
      <w:bookmarkStart w:id="14" w:name="_Toc187317784"/>
      <w:r>
        <w:rPr>
          <w:rFonts w:asciiTheme="minorHAnsi" w:hAnsiTheme="minorHAnsi" w:cstheme="minorHAnsi"/>
          <w:color w:val="06038D"/>
          <w:sz w:val="28"/>
          <w:szCs w:val="28"/>
        </w:rPr>
        <w:t>2.</w:t>
      </w:r>
      <w:r w:rsidR="00115F84">
        <w:rPr>
          <w:rFonts w:asciiTheme="minorHAnsi" w:hAnsiTheme="minorHAnsi" w:cstheme="minorHAnsi"/>
          <w:color w:val="06038D"/>
          <w:sz w:val="28"/>
          <w:szCs w:val="28"/>
        </w:rPr>
        <w:t>4</w:t>
      </w:r>
      <w:r>
        <w:rPr>
          <w:rFonts w:asciiTheme="minorHAnsi" w:hAnsiTheme="minorHAnsi" w:cstheme="minorHAnsi"/>
          <w:color w:val="06038D"/>
          <w:sz w:val="28"/>
          <w:szCs w:val="28"/>
        </w:rPr>
        <w:t xml:space="preserve"> </w:t>
      </w:r>
      <w:r w:rsidRPr="00B73BCD">
        <w:rPr>
          <w:rFonts w:asciiTheme="minorHAnsi" w:hAnsiTheme="minorHAnsi" w:cstheme="minorHAnsi"/>
          <w:color w:val="06038D"/>
          <w:sz w:val="28"/>
          <w:szCs w:val="28"/>
        </w:rPr>
        <w:t xml:space="preserve">Conclusão da </w:t>
      </w:r>
      <w:bookmarkEnd w:id="13"/>
      <w:bookmarkEnd w:id="14"/>
      <w:r w:rsidR="00017C99">
        <w:rPr>
          <w:rFonts w:asciiTheme="minorHAnsi" w:hAnsiTheme="minorHAnsi" w:cstheme="minorHAnsi"/>
          <w:color w:val="06038D"/>
          <w:sz w:val="28"/>
          <w:szCs w:val="28"/>
        </w:rPr>
        <w:t>classificação</w:t>
      </w:r>
    </w:p>
    <w:p w14:paraId="4EC57CB1" w14:textId="77777777" w:rsidR="00BE015D" w:rsidRPr="003D09DF" w:rsidRDefault="00BE015D" w:rsidP="001130D6"/>
    <w:p w14:paraId="08F078B9" w14:textId="6C82513B" w:rsidR="003D09DF" w:rsidRPr="003D09DF" w:rsidRDefault="001130D6" w:rsidP="00115F84">
      <w:pPr>
        <w:pStyle w:val="Ttulo3"/>
      </w:pPr>
      <w:bookmarkStart w:id="15" w:name="_Toc187317785"/>
      <w:r w:rsidRPr="00115F84">
        <w:rPr>
          <w:rFonts w:asciiTheme="minorHAnsi" w:hAnsiTheme="minorHAnsi" w:cstheme="minorHAnsi"/>
          <w:color w:val="06038D"/>
        </w:rPr>
        <w:t>2.</w:t>
      </w:r>
      <w:r w:rsidR="00115F84">
        <w:rPr>
          <w:rFonts w:asciiTheme="minorHAnsi" w:hAnsiTheme="minorHAnsi" w:cstheme="minorHAnsi"/>
          <w:color w:val="06038D"/>
        </w:rPr>
        <w:t>4.1</w:t>
      </w:r>
      <w:r w:rsidRPr="00115F84">
        <w:rPr>
          <w:rFonts w:asciiTheme="minorHAnsi" w:hAnsiTheme="minorHAnsi" w:cstheme="minorHAnsi"/>
          <w:color w:val="06038D"/>
        </w:rPr>
        <w:t xml:space="preserve"> </w:t>
      </w:r>
      <w:r w:rsidR="00E42353" w:rsidRPr="00115F84">
        <w:rPr>
          <w:rFonts w:asciiTheme="minorHAnsi" w:hAnsiTheme="minorHAnsi" w:cstheme="minorHAnsi"/>
          <w:color w:val="06038D"/>
        </w:rPr>
        <w:t xml:space="preserve">- </w:t>
      </w:r>
      <w:r w:rsidRPr="00115F84">
        <w:rPr>
          <w:rFonts w:asciiTheme="minorHAnsi" w:hAnsiTheme="minorHAnsi" w:cstheme="minorHAnsi"/>
          <w:color w:val="06038D"/>
        </w:rPr>
        <w:t xml:space="preserve">O que acontece caso eu não </w:t>
      </w:r>
      <w:r w:rsidR="003D09DF" w:rsidRPr="00115F84">
        <w:rPr>
          <w:rFonts w:asciiTheme="minorHAnsi" w:hAnsiTheme="minorHAnsi" w:cstheme="minorHAnsi"/>
          <w:color w:val="06038D"/>
        </w:rPr>
        <w:t xml:space="preserve">realize o </w:t>
      </w:r>
      <w:r w:rsidR="008C1EB5" w:rsidRPr="00115F84">
        <w:rPr>
          <w:rFonts w:asciiTheme="minorHAnsi" w:hAnsiTheme="minorHAnsi" w:cstheme="minorHAnsi"/>
          <w:color w:val="06038D"/>
        </w:rPr>
        <w:t>envio</w:t>
      </w:r>
      <w:r w:rsidRPr="00115F84">
        <w:rPr>
          <w:rFonts w:asciiTheme="minorHAnsi" w:hAnsiTheme="minorHAnsi" w:cstheme="minorHAnsi"/>
          <w:color w:val="06038D"/>
        </w:rPr>
        <w:t>?</w:t>
      </w:r>
      <w:bookmarkEnd w:id="15"/>
      <w:r w:rsidRPr="00115F84">
        <w:rPr>
          <w:rFonts w:asciiTheme="minorHAnsi" w:hAnsiTheme="minorHAnsi" w:cstheme="minorHAnsi"/>
          <w:color w:val="06038D"/>
        </w:rPr>
        <w:t xml:space="preserve"> </w:t>
      </w:r>
    </w:p>
    <w:p w14:paraId="43DE2DBD" w14:textId="65237193" w:rsidR="00284668" w:rsidRPr="00115F84" w:rsidRDefault="008C1EB5" w:rsidP="00115F84">
      <w:pPr>
        <w:jc w:val="both"/>
        <w:rPr>
          <w:color w:val="4C4C4C"/>
          <w:sz w:val="24"/>
          <w:szCs w:val="24"/>
        </w:rPr>
      </w:pPr>
      <w:r w:rsidRPr="00115F84">
        <w:rPr>
          <w:color w:val="4C4C4C"/>
          <w:sz w:val="24"/>
          <w:szCs w:val="24"/>
        </w:rPr>
        <w:t xml:space="preserve">Os agentes que não enviarem seus documentos serão automaticamente classificados como </w:t>
      </w:r>
      <w:r w:rsidR="000140E8" w:rsidRPr="00C021F9">
        <w:rPr>
          <w:b/>
          <w:bCs/>
          <w:color w:val="4C4C4C"/>
          <w:sz w:val="24"/>
          <w:szCs w:val="24"/>
        </w:rPr>
        <w:t>T</w:t>
      </w:r>
      <w:r w:rsidRPr="00C021F9">
        <w:rPr>
          <w:b/>
          <w:bCs/>
          <w:color w:val="4C4C4C"/>
          <w:sz w:val="24"/>
          <w:szCs w:val="24"/>
        </w:rPr>
        <w:t>ipo 2</w:t>
      </w:r>
      <w:r w:rsidR="000140E8" w:rsidRPr="00C021F9">
        <w:rPr>
          <w:b/>
          <w:bCs/>
          <w:color w:val="4C4C4C"/>
          <w:sz w:val="24"/>
          <w:szCs w:val="24"/>
        </w:rPr>
        <w:t xml:space="preserve"> – Documentação não enviada</w:t>
      </w:r>
      <w:r w:rsidRPr="00115F84">
        <w:rPr>
          <w:color w:val="4C4C4C"/>
          <w:sz w:val="24"/>
          <w:szCs w:val="24"/>
        </w:rPr>
        <w:t>, portanto, terão limitação de 30</w:t>
      </w:r>
      <w:r w:rsidR="000140E8">
        <w:rPr>
          <w:color w:val="4C4C4C"/>
          <w:sz w:val="24"/>
          <w:szCs w:val="24"/>
        </w:rPr>
        <w:t>MW</w:t>
      </w:r>
      <w:r w:rsidRPr="00115F84">
        <w:rPr>
          <w:color w:val="4C4C4C"/>
          <w:sz w:val="24"/>
          <w:szCs w:val="24"/>
        </w:rPr>
        <w:t xml:space="preserve">médios de contratos de venda, e </w:t>
      </w:r>
      <w:r w:rsidR="0014246B">
        <w:rPr>
          <w:color w:val="4C4C4C"/>
          <w:sz w:val="24"/>
          <w:szCs w:val="24"/>
        </w:rPr>
        <w:t>dev</w:t>
      </w:r>
      <w:r w:rsidRPr="00115F84">
        <w:rPr>
          <w:color w:val="4C4C4C"/>
          <w:sz w:val="24"/>
          <w:szCs w:val="24"/>
        </w:rPr>
        <w:t xml:space="preserve">erão aguardar </w:t>
      </w:r>
      <w:r w:rsidR="00512D95">
        <w:rPr>
          <w:color w:val="4C4C4C"/>
          <w:sz w:val="24"/>
          <w:szCs w:val="24"/>
        </w:rPr>
        <w:t>o próximo ciclo</w:t>
      </w:r>
      <w:r w:rsidRPr="00115F84">
        <w:rPr>
          <w:color w:val="4C4C4C"/>
          <w:sz w:val="24"/>
          <w:szCs w:val="24"/>
        </w:rPr>
        <w:t xml:space="preserve"> de envio (</w:t>
      </w:r>
      <w:r w:rsidR="0014246B">
        <w:rPr>
          <w:color w:val="4C4C4C"/>
          <w:sz w:val="24"/>
          <w:szCs w:val="24"/>
        </w:rPr>
        <w:t>a</w:t>
      </w:r>
      <w:r w:rsidRPr="00115F84">
        <w:rPr>
          <w:color w:val="4C4C4C"/>
          <w:sz w:val="24"/>
          <w:szCs w:val="24"/>
        </w:rPr>
        <w:t>bril do ano seguinte) caso queiram regularizar a situação.</w:t>
      </w:r>
    </w:p>
    <w:p w14:paraId="1CB7FE5A" w14:textId="2E72339A" w:rsidR="008C1EB5" w:rsidRPr="00115F84" w:rsidRDefault="008C1EB5" w:rsidP="00115F84">
      <w:pPr>
        <w:jc w:val="both"/>
        <w:rPr>
          <w:color w:val="4C4C4C"/>
          <w:sz w:val="24"/>
          <w:szCs w:val="24"/>
        </w:rPr>
      </w:pPr>
      <w:r w:rsidRPr="00115F84">
        <w:rPr>
          <w:color w:val="4C4C4C"/>
          <w:sz w:val="24"/>
          <w:szCs w:val="24"/>
        </w:rPr>
        <w:t>Ademais, destacamos que a falta de envio do documento pode ensejar em procedimento para avaliar a conduta do agente, podendo até mesmo levar à perda da outorga para comercializar energia elétrica, caso assim decida a agência reguladora Aneel.</w:t>
      </w:r>
    </w:p>
    <w:sectPr w:rsidR="008C1EB5" w:rsidRPr="00115F84" w:rsidSect="00E92A43">
      <w:footerReference w:type="default" r:id="rId11"/>
      <w:pgSz w:w="11906" w:h="16838"/>
      <w:pgMar w:top="1701" w:right="1134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F379" w14:textId="77777777" w:rsidR="000C3285" w:rsidRDefault="000C3285" w:rsidP="003A7E46">
      <w:pPr>
        <w:spacing w:after="0" w:line="240" w:lineRule="auto"/>
      </w:pPr>
      <w:r>
        <w:separator/>
      </w:r>
    </w:p>
  </w:endnote>
  <w:endnote w:type="continuationSeparator" w:id="0">
    <w:p w14:paraId="33C7CDEF" w14:textId="77777777" w:rsidR="000C3285" w:rsidRDefault="000C3285" w:rsidP="003A7E46">
      <w:pPr>
        <w:spacing w:after="0" w:line="240" w:lineRule="auto"/>
      </w:pPr>
      <w:r>
        <w:continuationSeparator/>
      </w:r>
    </w:p>
  </w:endnote>
  <w:endnote w:type="continuationNotice" w:id="1">
    <w:p w14:paraId="5109F0C9" w14:textId="77777777" w:rsidR="000C3285" w:rsidRDefault="000C32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8A5E" w14:textId="54AAA758" w:rsidR="00A06FAF" w:rsidRPr="00F83410" w:rsidRDefault="00000000">
    <w:pPr>
      <w:pStyle w:val="Rodap"/>
      <w:jc w:val="right"/>
      <w:rPr>
        <w:color w:val="06038D"/>
      </w:rPr>
    </w:pPr>
    <w:sdt>
      <w:sdtPr>
        <w:id w:val="5778019"/>
        <w:docPartObj>
          <w:docPartGallery w:val="Page Numbers (Bottom of Page)"/>
          <w:docPartUnique/>
        </w:docPartObj>
      </w:sdtPr>
      <w:sdtEndPr>
        <w:rPr>
          <w:color w:val="06038D"/>
        </w:rPr>
      </w:sdtEndPr>
      <w:sdtContent>
        <w:r w:rsidR="003A5E08" w:rsidRPr="00F83410">
          <w:rPr>
            <w:color w:val="06038D"/>
          </w:rPr>
          <w:fldChar w:fldCharType="begin"/>
        </w:r>
        <w:r w:rsidR="003A5E08" w:rsidRPr="00F83410">
          <w:rPr>
            <w:color w:val="06038D"/>
          </w:rPr>
          <w:instrText xml:space="preserve"> PAGE   \* MERGEFORMAT </w:instrText>
        </w:r>
        <w:r w:rsidR="003A5E08" w:rsidRPr="00F83410">
          <w:rPr>
            <w:color w:val="06038D"/>
          </w:rPr>
          <w:fldChar w:fldCharType="separate"/>
        </w:r>
        <w:r w:rsidR="00E000A1" w:rsidRPr="00F83410">
          <w:rPr>
            <w:noProof/>
            <w:color w:val="06038D"/>
          </w:rPr>
          <w:t>1</w:t>
        </w:r>
        <w:r w:rsidR="003A5E08" w:rsidRPr="00F83410">
          <w:rPr>
            <w:noProof/>
            <w:color w:val="06038D"/>
          </w:rPr>
          <w:fldChar w:fldCharType="end"/>
        </w:r>
      </w:sdtContent>
    </w:sdt>
  </w:p>
  <w:p w14:paraId="189C3E1F" w14:textId="77777777" w:rsidR="00A06FAF" w:rsidRDefault="00A06F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A571" w14:textId="77777777" w:rsidR="000C3285" w:rsidRDefault="000C3285" w:rsidP="003A7E46">
      <w:pPr>
        <w:spacing w:after="0" w:line="240" w:lineRule="auto"/>
      </w:pPr>
      <w:r>
        <w:separator/>
      </w:r>
    </w:p>
  </w:footnote>
  <w:footnote w:type="continuationSeparator" w:id="0">
    <w:p w14:paraId="4511E3BC" w14:textId="77777777" w:rsidR="000C3285" w:rsidRDefault="000C3285" w:rsidP="003A7E46">
      <w:pPr>
        <w:spacing w:after="0" w:line="240" w:lineRule="auto"/>
      </w:pPr>
      <w:r>
        <w:continuationSeparator/>
      </w:r>
    </w:p>
  </w:footnote>
  <w:footnote w:type="continuationNotice" w:id="1">
    <w:p w14:paraId="5D48B055" w14:textId="77777777" w:rsidR="000C3285" w:rsidRDefault="000C32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44F" w14:textId="791BF555" w:rsidR="003A7E46" w:rsidRDefault="00F83410">
    <w:pPr>
      <w:pStyle w:val="Cabealho"/>
    </w:pPr>
    <w:r>
      <w:rPr>
        <w:noProof/>
        <w:lang w:val="en-US"/>
      </w:rPr>
      <w:drawing>
        <wp:inline distT="0" distB="0" distL="0" distR="0" wp14:anchorId="17452F5E" wp14:editId="09E9E7F6">
          <wp:extent cx="732692" cy="201463"/>
          <wp:effectExtent l="0" t="0" r="4445" b="1905"/>
          <wp:docPr id="6" name="Imagem 6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Ícone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9307" cy="241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B5D"/>
    <w:multiLevelType w:val="hybridMultilevel"/>
    <w:tmpl w:val="FFC60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54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46"/>
    <w:rsid w:val="00002863"/>
    <w:rsid w:val="00006E27"/>
    <w:rsid w:val="000140E8"/>
    <w:rsid w:val="00017C99"/>
    <w:rsid w:val="000245EE"/>
    <w:rsid w:val="00031EE8"/>
    <w:rsid w:val="000409D6"/>
    <w:rsid w:val="00041506"/>
    <w:rsid w:val="00041833"/>
    <w:rsid w:val="0005788B"/>
    <w:rsid w:val="000725BE"/>
    <w:rsid w:val="00081032"/>
    <w:rsid w:val="000A0777"/>
    <w:rsid w:val="000A7E9B"/>
    <w:rsid w:val="000C3285"/>
    <w:rsid w:val="000D06ED"/>
    <w:rsid w:val="000D40D9"/>
    <w:rsid w:val="000E28A7"/>
    <w:rsid w:val="000E43D4"/>
    <w:rsid w:val="000E69FE"/>
    <w:rsid w:val="000F57D1"/>
    <w:rsid w:val="00103159"/>
    <w:rsid w:val="00106DEB"/>
    <w:rsid w:val="001130D6"/>
    <w:rsid w:val="00115F84"/>
    <w:rsid w:val="0012263E"/>
    <w:rsid w:val="00123E05"/>
    <w:rsid w:val="00124759"/>
    <w:rsid w:val="0014246B"/>
    <w:rsid w:val="00144551"/>
    <w:rsid w:val="00151D56"/>
    <w:rsid w:val="00151F87"/>
    <w:rsid w:val="001608E1"/>
    <w:rsid w:val="00167AFF"/>
    <w:rsid w:val="001A66BA"/>
    <w:rsid w:val="001B776F"/>
    <w:rsid w:val="001E79A3"/>
    <w:rsid w:val="001F74FC"/>
    <w:rsid w:val="00210384"/>
    <w:rsid w:val="0021597C"/>
    <w:rsid w:val="0022547A"/>
    <w:rsid w:val="0025575D"/>
    <w:rsid w:val="002608BC"/>
    <w:rsid w:val="00273E2E"/>
    <w:rsid w:val="002753DA"/>
    <w:rsid w:val="00283CBA"/>
    <w:rsid w:val="00284668"/>
    <w:rsid w:val="002876FB"/>
    <w:rsid w:val="00292EAC"/>
    <w:rsid w:val="002A161E"/>
    <w:rsid w:val="002B09B1"/>
    <w:rsid w:val="002B7D9B"/>
    <w:rsid w:val="002F0FAF"/>
    <w:rsid w:val="003201C1"/>
    <w:rsid w:val="003326CF"/>
    <w:rsid w:val="00341E5D"/>
    <w:rsid w:val="003467B0"/>
    <w:rsid w:val="00363D21"/>
    <w:rsid w:val="00366431"/>
    <w:rsid w:val="00375F17"/>
    <w:rsid w:val="00386F9C"/>
    <w:rsid w:val="003A5E08"/>
    <w:rsid w:val="003A7E46"/>
    <w:rsid w:val="003B41E7"/>
    <w:rsid w:val="003D09DF"/>
    <w:rsid w:val="003F2A90"/>
    <w:rsid w:val="003F461D"/>
    <w:rsid w:val="00404D64"/>
    <w:rsid w:val="00421E34"/>
    <w:rsid w:val="004267B4"/>
    <w:rsid w:val="00441E32"/>
    <w:rsid w:val="00444E3C"/>
    <w:rsid w:val="004547E2"/>
    <w:rsid w:val="00457D8B"/>
    <w:rsid w:val="00461F7D"/>
    <w:rsid w:val="0046532A"/>
    <w:rsid w:val="00465A3D"/>
    <w:rsid w:val="00476F57"/>
    <w:rsid w:val="00497395"/>
    <w:rsid w:val="004B1729"/>
    <w:rsid w:val="004C78AD"/>
    <w:rsid w:val="004F16D5"/>
    <w:rsid w:val="00512D95"/>
    <w:rsid w:val="00533833"/>
    <w:rsid w:val="00554180"/>
    <w:rsid w:val="00557983"/>
    <w:rsid w:val="005604C7"/>
    <w:rsid w:val="00567D6B"/>
    <w:rsid w:val="00590B15"/>
    <w:rsid w:val="00591ED5"/>
    <w:rsid w:val="005924AA"/>
    <w:rsid w:val="00595D8B"/>
    <w:rsid w:val="005A3E38"/>
    <w:rsid w:val="005B69C1"/>
    <w:rsid w:val="005B6FD4"/>
    <w:rsid w:val="005C4C31"/>
    <w:rsid w:val="005D191D"/>
    <w:rsid w:val="005E3667"/>
    <w:rsid w:val="00604708"/>
    <w:rsid w:val="00631406"/>
    <w:rsid w:val="006412EA"/>
    <w:rsid w:val="006514B8"/>
    <w:rsid w:val="00657E05"/>
    <w:rsid w:val="00680F83"/>
    <w:rsid w:val="006A7AAA"/>
    <w:rsid w:val="006B7DFE"/>
    <w:rsid w:val="006C7890"/>
    <w:rsid w:val="006E3B1B"/>
    <w:rsid w:val="006E76ED"/>
    <w:rsid w:val="006F422C"/>
    <w:rsid w:val="006F5142"/>
    <w:rsid w:val="00703168"/>
    <w:rsid w:val="00713ABE"/>
    <w:rsid w:val="00714C89"/>
    <w:rsid w:val="007244AF"/>
    <w:rsid w:val="007546AF"/>
    <w:rsid w:val="00763141"/>
    <w:rsid w:val="00763D25"/>
    <w:rsid w:val="00767EC3"/>
    <w:rsid w:val="00771E98"/>
    <w:rsid w:val="007753B5"/>
    <w:rsid w:val="007836D9"/>
    <w:rsid w:val="00790F91"/>
    <w:rsid w:val="007A7DA6"/>
    <w:rsid w:val="007B1D03"/>
    <w:rsid w:val="007B32AE"/>
    <w:rsid w:val="007C6A38"/>
    <w:rsid w:val="007D3083"/>
    <w:rsid w:val="007D3CB2"/>
    <w:rsid w:val="007F7BB4"/>
    <w:rsid w:val="008179AF"/>
    <w:rsid w:val="00854D75"/>
    <w:rsid w:val="00873770"/>
    <w:rsid w:val="0087786A"/>
    <w:rsid w:val="0089313E"/>
    <w:rsid w:val="008B7E07"/>
    <w:rsid w:val="008C1EB5"/>
    <w:rsid w:val="008C7F66"/>
    <w:rsid w:val="008F46C9"/>
    <w:rsid w:val="0091698A"/>
    <w:rsid w:val="00934ED2"/>
    <w:rsid w:val="009357DD"/>
    <w:rsid w:val="009368E6"/>
    <w:rsid w:val="009558F4"/>
    <w:rsid w:val="009601E3"/>
    <w:rsid w:val="00963136"/>
    <w:rsid w:val="00980D3C"/>
    <w:rsid w:val="00992808"/>
    <w:rsid w:val="009A2010"/>
    <w:rsid w:val="009B2065"/>
    <w:rsid w:val="009B221C"/>
    <w:rsid w:val="009B7992"/>
    <w:rsid w:val="009C22D7"/>
    <w:rsid w:val="009C65DA"/>
    <w:rsid w:val="009E6B1C"/>
    <w:rsid w:val="00A02600"/>
    <w:rsid w:val="00A06FAF"/>
    <w:rsid w:val="00A23271"/>
    <w:rsid w:val="00A377AB"/>
    <w:rsid w:val="00A468E5"/>
    <w:rsid w:val="00A503B4"/>
    <w:rsid w:val="00A50F2D"/>
    <w:rsid w:val="00A572FC"/>
    <w:rsid w:val="00A710E5"/>
    <w:rsid w:val="00A72BA9"/>
    <w:rsid w:val="00A8306B"/>
    <w:rsid w:val="00A93CBE"/>
    <w:rsid w:val="00AA015F"/>
    <w:rsid w:val="00AA31B9"/>
    <w:rsid w:val="00AA508A"/>
    <w:rsid w:val="00AA74E3"/>
    <w:rsid w:val="00AC09FC"/>
    <w:rsid w:val="00AD7625"/>
    <w:rsid w:val="00AE4525"/>
    <w:rsid w:val="00AE51EF"/>
    <w:rsid w:val="00AF0DEF"/>
    <w:rsid w:val="00B10DE6"/>
    <w:rsid w:val="00B15402"/>
    <w:rsid w:val="00B3001C"/>
    <w:rsid w:val="00B327BB"/>
    <w:rsid w:val="00B53F0C"/>
    <w:rsid w:val="00B54570"/>
    <w:rsid w:val="00B57F3A"/>
    <w:rsid w:val="00BA5292"/>
    <w:rsid w:val="00BC53D5"/>
    <w:rsid w:val="00BE015D"/>
    <w:rsid w:val="00BE22B6"/>
    <w:rsid w:val="00BE46D4"/>
    <w:rsid w:val="00BF2D54"/>
    <w:rsid w:val="00C011E0"/>
    <w:rsid w:val="00C021F9"/>
    <w:rsid w:val="00C02D22"/>
    <w:rsid w:val="00C034F5"/>
    <w:rsid w:val="00C1219E"/>
    <w:rsid w:val="00C12DFD"/>
    <w:rsid w:val="00C20E10"/>
    <w:rsid w:val="00CB29F9"/>
    <w:rsid w:val="00CD039B"/>
    <w:rsid w:val="00CE58E8"/>
    <w:rsid w:val="00CE61B2"/>
    <w:rsid w:val="00D113DF"/>
    <w:rsid w:val="00D2749B"/>
    <w:rsid w:val="00D364CC"/>
    <w:rsid w:val="00D41E42"/>
    <w:rsid w:val="00D43706"/>
    <w:rsid w:val="00D4584F"/>
    <w:rsid w:val="00D74ADD"/>
    <w:rsid w:val="00D82FBE"/>
    <w:rsid w:val="00D964E1"/>
    <w:rsid w:val="00D97915"/>
    <w:rsid w:val="00DB2CA3"/>
    <w:rsid w:val="00DC0D1C"/>
    <w:rsid w:val="00DD6394"/>
    <w:rsid w:val="00DE4B59"/>
    <w:rsid w:val="00E000A1"/>
    <w:rsid w:val="00E0121A"/>
    <w:rsid w:val="00E1205E"/>
    <w:rsid w:val="00E33E87"/>
    <w:rsid w:val="00E42353"/>
    <w:rsid w:val="00E439C8"/>
    <w:rsid w:val="00E456DE"/>
    <w:rsid w:val="00E57409"/>
    <w:rsid w:val="00E72B73"/>
    <w:rsid w:val="00E90A9C"/>
    <w:rsid w:val="00E92A43"/>
    <w:rsid w:val="00E92A53"/>
    <w:rsid w:val="00EC3A12"/>
    <w:rsid w:val="00EC71F3"/>
    <w:rsid w:val="00EE1B7A"/>
    <w:rsid w:val="00EE5C86"/>
    <w:rsid w:val="00F1569E"/>
    <w:rsid w:val="00F52688"/>
    <w:rsid w:val="00F55978"/>
    <w:rsid w:val="00F56F42"/>
    <w:rsid w:val="00F60A74"/>
    <w:rsid w:val="00F60FDF"/>
    <w:rsid w:val="00F656F3"/>
    <w:rsid w:val="00F76CA5"/>
    <w:rsid w:val="00F774CA"/>
    <w:rsid w:val="00F83410"/>
    <w:rsid w:val="00F928B1"/>
    <w:rsid w:val="00FB5643"/>
    <w:rsid w:val="00FE2FA1"/>
    <w:rsid w:val="00FF7C6D"/>
    <w:rsid w:val="0B6C2872"/>
    <w:rsid w:val="35C78D7E"/>
    <w:rsid w:val="47B22788"/>
    <w:rsid w:val="64D2623E"/>
    <w:rsid w:val="662A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EF78D0"/>
  <w15:docId w15:val="{A670CEE6-D6B0-4E15-A2FC-529CE217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F87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E33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1F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3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51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151F87"/>
    <w:pPr>
      <w:spacing w:after="0" w:line="240" w:lineRule="auto"/>
    </w:pPr>
    <w:rPr>
      <w:rFonts w:ascii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3A7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E46"/>
    <w:rPr>
      <w:rFonts w:ascii="Calibri" w:hAnsi="Calibri"/>
    </w:rPr>
  </w:style>
  <w:style w:type="paragraph" w:styleId="Rodap">
    <w:name w:val="footer"/>
    <w:basedOn w:val="Normal"/>
    <w:link w:val="RodapChar"/>
    <w:uiPriority w:val="99"/>
    <w:unhideWhenUsed/>
    <w:rsid w:val="003A7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E46"/>
    <w:rPr>
      <w:rFonts w:ascii="Calibri" w:hAnsi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27B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7BB"/>
    <w:rPr>
      <w:rFonts w:ascii="Lucida Grande" w:hAnsi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33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33E87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33E87"/>
    <w:pPr>
      <w:spacing w:after="100"/>
    </w:pPr>
  </w:style>
  <w:style w:type="character" w:styleId="Hyperlink">
    <w:name w:val="Hyperlink"/>
    <w:basedOn w:val="Fontepargpadro"/>
    <w:uiPriority w:val="99"/>
    <w:unhideWhenUsed/>
    <w:rsid w:val="00E33E87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E33E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1130D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1130D6"/>
    <w:pPr>
      <w:spacing w:after="100"/>
      <w:ind w:left="440"/>
    </w:pPr>
  </w:style>
  <w:style w:type="paragraph" w:styleId="Reviso">
    <w:name w:val="Revision"/>
    <w:hidden/>
    <w:uiPriority w:val="99"/>
    <w:semiHidden/>
    <w:rsid w:val="0046532A"/>
    <w:pPr>
      <w:spacing w:after="0" w:line="240" w:lineRule="auto"/>
    </w:pPr>
    <w:rPr>
      <w:rFonts w:ascii="Calibri" w:hAnsi="Calibri"/>
    </w:rPr>
  </w:style>
  <w:style w:type="character" w:styleId="MenoPendente">
    <w:name w:val="Unresolved Mention"/>
    <w:basedOn w:val="Fontepargpadro"/>
    <w:uiPriority w:val="99"/>
    <w:semiHidden/>
    <w:unhideWhenUsed/>
    <w:rsid w:val="003B41E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FBE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A0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9s6JJp1afS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EB80E-BA00-42DB-BCFA-0E93089D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4</Pages>
  <Words>968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CCEE</Company>
  <LinksUpToDate>false</LinksUpToDate>
  <CharactersWithSpaces>6187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CCEE</dc:creator>
  <cp:keywords/>
  <dc:description/>
  <cp:lastModifiedBy>Higor Dias</cp:lastModifiedBy>
  <cp:revision>68</cp:revision>
  <dcterms:created xsi:type="dcterms:W3CDTF">2024-12-18T23:21:00Z</dcterms:created>
  <dcterms:modified xsi:type="dcterms:W3CDTF">2025-05-19T18:38:00Z</dcterms:modified>
  <cp:category/>
</cp:coreProperties>
</file>