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B4B1" w14:textId="77777777" w:rsidR="004D4A8D" w:rsidRPr="004D4A8D" w:rsidRDefault="004D4A8D" w:rsidP="004D4A8D">
      <w:pPr>
        <w:pStyle w:val="Premissas"/>
        <w:spacing w:after="120" w:line="245" w:lineRule="auto"/>
        <w:jc w:val="center"/>
        <w:rPr>
          <w:b/>
          <w:szCs w:val="20"/>
        </w:rPr>
      </w:pPr>
      <w:r w:rsidRPr="004D4A8D">
        <w:rPr>
          <w:b/>
          <w:szCs w:val="20"/>
        </w:rPr>
        <w:t>CRITÉRIOS MÍNIMOS PARA O CAD AVALIAR A SOLICITAÇÃO DE ADESÃO DE</w:t>
      </w:r>
    </w:p>
    <w:p w14:paraId="7764BE71" w14:textId="77777777" w:rsidR="004D4A8D" w:rsidRPr="004D4A8D" w:rsidRDefault="004D4A8D" w:rsidP="004D4A8D">
      <w:pPr>
        <w:pStyle w:val="Premissas"/>
        <w:spacing w:after="120" w:line="245" w:lineRule="auto"/>
        <w:jc w:val="center"/>
        <w:rPr>
          <w:b/>
          <w:szCs w:val="20"/>
        </w:rPr>
      </w:pPr>
      <w:r w:rsidRPr="004D4A8D">
        <w:rPr>
          <w:b/>
          <w:szCs w:val="20"/>
        </w:rPr>
        <w:t>GERADOR SEM CADASTRO DE PONTO DE MEDIÇÃO E DE ATIVO</w:t>
      </w:r>
    </w:p>
    <w:p w14:paraId="6EEAF494" w14:textId="77777777" w:rsidR="004D4A8D" w:rsidRPr="004D4A8D" w:rsidRDefault="004D4A8D" w:rsidP="004D4A8D">
      <w:pPr>
        <w:pStyle w:val="Premissas"/>
        <w:spacing w:after="120" w:line="245" w:lineRule="auto"/>
        <w:rPr>
          <w:bCs/>
          <w:szCs w:val="20"/>
        </w:rPr>
      </w:pPr>
    </w:p>
    <w:p w14:paraId="46B5B199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De acordo com premissa específica deste submódulo, é possível que o candidato a agente pertencente à categoria de geração que tenha comercializado no Ambiente de Contratação Livre – ACL a garantia física outorgada do respectivo empreendimento de geração, no todo ou em parte, solicite sua adesão à CCEE com a dispensa do atendimento às seções “Cadastro de pontos de medição” e “Cadastro de ativos”, ambas do submódulo 1.2 – Cadastro de agentes, mediante apresentação de justificativa e documentos comprobatórios.</w:t>
      </w:r>
    </w:p>
    <w:p w14:paraId="436B20B6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7FD2AFB1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 xml:space="preserve">Para que o Conselho de Administração da CCEE – </w:t>
      </w:r>
      <w:proofErr w:type="spellStart"/>
      <w:r w:rsidRPr="004D4A8D">
        <w:rPr>
          <w:bCs/>
          <w:szCs w:val="20"/>
        </w:rPr>
        <w:t>CAd</w:t>
      </w:r>
      <w:proofErr w:type="spellEnd"/>
      <w:r w:rsidRPr="004D4A8D">
        <w:rPr>
          <w:bCs/>
          <w:szCs w:val="20"/>
        </w:rPr>
        <w:t xml:space="preserve"> avalie o pedido do candidato, é necessário o cumprimento dos critérios mínimos, abaixo relacionados:</w:t>
      </w:r>
    </w:p>
    <w:p w14:paraId="50AB27BD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5120630A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>O candidato a agente pertencente à categoria de geração deve ter comercializado no ACL a garantia física outorgada do respectivo empreendimento de geração, no todo ou em parte.</w:t>
      </w:r>
    </w:p>
    <w:p w14:paraId="62844741" w14:textId="77777777" w:rsidR="004D4A8D" w:rsidRPr="004D4A8D" w:rsidRDefault="004D4A8D" w:rsidP="004D4A8D">
      <w:pPr>
        <w:pStyle w:val="Premissas"/>
        <w:spacing w:before="0" w:after="200" w:line="240" w:lineRule="auto"/>
        <w:ind w:left="284"/>
        <w:rPr>
          <w:bCs/>
          <w:szCs w:val="20"/>
        </w:rPr>
      </w:pPr>
    </w:p>
    <w:p w14:paraId="07AE738A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>As obras para construção do empreendimento de geração devem estar em andamento, de acordo com o Relatório de Acompanhamento da Expansão da Oferta de Geração de Energia Elétrica - RALIE (classificadas com viabilidade “Alta”) ou outro documento emitido pela Agência Nacional de Energia Elétrica - ANEEL, e com início da operação comercial da primeira unidade geradora em atraso em relação à data estabelecida no ato de outorga.</w:t>
      </w:r>
    </w:p>
    <w:p w14:paraId="4A933053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0BB1CD07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>O candidato a agente deve demonstrar ter celebrado os contratos de conexão e de uso dos sistemas de distribuição e/ou de transmissão.</w:t>
      </w:r>
    </w:p>
    <w:p w14:paraId="3F133619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5F0F2B88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>As cópias autenticadas digitalizadas dos contratos de venda, limitados à quantidade de garantia física outorgada do empreendimento de geração não comprometida no Ambiente de Contratação Regulada - ACR, devem ser encaminhadas à CCEE.</w:t>
      </w:r>
    </w:p>
    <w:p w14:paraId="6405E110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509808CA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 xml:space="preserve">Os contratos de compra no ACL devem ter sido firmados para suprir os respectivos contratos de venda, nos mesmos </w:t>
      </w:r>
      <w:proofErr w:type="spellStart"/>
      <w:r w:rsidRPr="004D4A8D">
        <w:rPr>
          <w:bCs/>
          <w:szCs w:val="20"/>
        </w:rPr>
        <w:t>submercados</w:t>
      </w:r>
      <w:proofErr w:type="spellEnd"/>
      <w:r w:rsidRPr="004D4A8D">
        <w:rPr>
          <w:bCs/>
          <w:szCs w:val="20"/>
        </w:rPr>
        <w:t xml:space="preserve"> e com </w:t>
      </w:r>
      <w:proofErr w:type="gramStart"/>
      <w:r w:rsidRPr="004D4A8D">
        <w:rPr>
          <w:bCs/>
          <w:szCs w:val="20"/>
        </w:rPr>
        <w:t>a mesma</w:t>
      </w:r>
      <w:proofErr w:type="gramEnd"/>
      <w:r w:rsidRPr="004D4A8D">
        <w:rPr>
          <w:bCs/>
          <w:szCs w:val="20"/>
        </w:rPr>
        <w:t xml:space="preserve"> </w:t>
      </w:r>
      <w:proofErr w:type="spellStart"/>
      <w:r w:rsidRPr="004D4A8D">
        <w:rPr>
          <w:bCs/>
          <w:szCs w:val="20"/>
        </w:rPr>
        <w:t>sazonalização</w:t>
      </w:r>
      <w:proofErr w:type="spellEnd"/>
      <w:r w:rsidRPr="004D4A8D">
        <w:rPr>
          <w:bCs/>
          <w:szCs w:val="20"/>
        </w:rPr>
        <w:t>, a mesma modulação e o mesmo tipo de energia (especial ou não especial), e estar limitados ao montante previsto no item 4, estando o candidato a agente sujeito às Regras de Comercialização.</w:t>
      </w:r>
    </w:p>
    <w:p w14:paraId="73960F63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5ED93948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>Os contratos de compra de energia devem atender aos seguintes requisitos:</w:t>
      </w:r>
    </w:p>
    <w:p w14:paraId="4E7763C9" w14:textId="77777777" w:rsidR="004D4A8D" w:rsidRPr="004D4A8D" w:rsidRDefault="004D4A8D" w:rsidP="004D4A8D">
      <w:pPr>
        <w:pStyle w:val="Premissas"/>
        <w:numPr>
          <w:ilvl w:val="0"/>
          <w:numId w:val="2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As cópias autenticadas digitalizadas devem ser encaminhadas à CCEE;</w:t>
      </w:r>
    </w:p>
    <w:p w14:paraId="553BEDAF" w14:textId="77777777" w:rsidR="004D4A8D" w:rsidRPr="004D4A8D" w:rsidRDefault="004D4A8D" w:rsidP="004D4A8D">
      <w:pPr>
        <w:pStyle w:val="Premissas"/>
        <w:numPr>
          <w:ilvl w:val="0"/>
          <w:numId w:val="2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A contraparte do contrato deve encaminhar à CCEE sua anuência;</w:t>
      </w:r>
    </w:p>
    <w:p w14:paraId="771A4057" w14:textId="77777777" w:rsidR="004D4A8D" w:rsidRPr="004D4A8D" w:rsidRDefault="004D4A8D" w:rsidP="004D4A8D">
      <w:pPr>
        <w:pStyle w:val="Premissas"/>
        <w:numPr>
          <w:ilvl w:val="0"/>
          <w:numId w:val="2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Tenham início de suprimento a partir da contabilização do mês de referência em que a usina entraria em operação comercial, conforme data estabelecida no ato de outorga.</w:t>
      </w:r>
    </w:p>
    <w:p w14:paraId="45234DC7" w14:textId="77777777" w:rsidR="004D4A8D" w:rsidRPr="004D4A8D" w:rsidRDefault="004D4A8D" w:rsidP="004D4A8D">
      <w:pPr>
        <w:pStyle w:val="Premissas"/>
        <w:spacing w:before="0" w:after="200" w:line="240" w:lineRule="auto"/>
        <w:rPr>
          <w:bCs/>
          <w:szCs w:val="20"/>
        </w:rPr>
      </w:pPr>
    </w:p>
    <w:p w14:paraId="766BB504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 xml:space="preserve">A depender do caso concreto, o </w:t>
      </w:r>
      <w:proofErr w:type="spellStart"/>
      <w:r w:rsidRPr="004D4A8D">
        <w:rPr>
          <w:bCs/>
          <w:szCs w:val="20"/>
        </w:rPr>
        <w:t>CAd</w:t>
      </w:r>
      <w:proofErr w:type="spellEnd"/>
      <w:r w:rsidRPr="004D4A8D">
        <w:rPr>
          <w:bCs/>
          <w:szCs w:val="20"/>
        </w:rPr>
        <w:t xml:space="preserve"> pode solicitar documentação adicional ao candidato a agente.</w:t>
      </w:r>
    </w:p>
    <w:p w14:paraId="1D0C3F9C" w14:textId="77777777" w:rsidR="004D4A8D" w:rsidRPr="004D4A8D" w:rsidRDefault="004D4A8D" w:rsidP="004D4A8D">
      <w:pPr>
        <w:pStyle w:val="Premissas"/>
        <w:spacing w:before="0" w:after="200" w:line="240" w:lineRule="auto"/>
        <w:ind w:left="284"/>
        <w:rPr>
          <w:bCs/>
          <w:szCs w:val="20"/>
        </w:rPr>
      </w:pPr>
    </w:p>
    <w:p w14:paraId="79F0FF89" w14:textId="77777777" w:rsidR="004D4A8D" w:rsidRPr="004D4A8D" w:rsidRDefault="004D4A8D" w:rsidP="004D4A8D">
      <w:pPr>
        <w:pStyle w:val="Premissas"/>
        <w:numPr>
          <w:ilvl w:val="0"/>
          <w:numId w:val="1"/>
        </w:numPr>
        <w:spacing w:before="0" w:after="200" w:line="240" w:lineRule="auto"/>
        <w:ind w:left="284" w:hanging="284"/>
        <w:rPr>
          <w:bCs/>
          <w:szCs w:val="20"/>
        </w:rPr>
      </w:pPr>
      <w:r w:rsidRPr="004D4A8D">
        <w:rPr>
          <w:bCs/>
          <w:szCs w:val="20"/>
        </w:rPr>
        <w:t xml:space="preserve">Uma vez que a adesão seja deliberada pelo </w:t>
      </w:r>
      <w:proofErr w:type="spellStart"/>
      <w:r w:rsidRPr="004D4A8D">
        <w:rPr>
          <w:bCs/>
          <w:szCs w:val="20"/>
        </w:rPr>
        <w:t>CAd</w:t>
      </w:r>
      <w:proofErr w:type="spellEnd"/>
      <w:r w:rsidRPr="004D4A8D">
        <w:rPr>
          <w:bCs/>
          <w:szCs w:val="20"/>
        </w:rPr>
        <w:t>:</w:t>
      </w:r>
    </w:p>
    <w:p w14:paraId="2D882FFE" w14:textId="77777777" w:rsidR="004D4A8D" w:rsidRPr="004D4A8D" w:rsidRDefault="004D4A8D" w:rsidP="004D4A8D">
      <w:pPr>
        <w:pStyle w:val="Premissas"/>
        <w:numPr>
          <w:ilvl w:val="0"/>
          <w:numId w:val="3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O agente estará em regime especial de monitoramento pela CCEE até que ocorra a entrada da primeira unidade geradora em operação comercial;</w:t>
      </w:r>
    </w:p>
    <w:p w14:paraId="5CA5FB9D" w14:textId="77777777" w:rsidR="004D4A8D" w:rsidRPr="004D4A8D" w:rsidRDefault="004D4A8D" w:rsidP="004D4A8D">
      <w:pPr>
        <w:pStyle w:val="Premissas"/>
        <w:numPr>
          <w:ilvl w:val="0"/>
          <w:numId w:val="3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A CCEE realizará a validação dos registros dos contratos de compra e os registros dos contratos de venda do agente, conforme regulamentação específica, observada a vedação ao registro de contratos (e consequente validação) para meses anteriores ao de eventual aprovação de adesão à CCEE;</w:t>
      </w:r>
    </w:p>
    <w:p w14:paraId="4FCD1657" w14:textId="150FDE8D" w:rsidR="00C952E0" w:rsidRPr="004D4A8D" w:rsidRDefault="004D4A8D" w:rsidP="004D4A8D">
      <w:pPr>
        <w:pStyle w:val="Premissas"/>
        <w:numPr>
          <w:ilvl w:val="0"/>
          <w:numId w:val="3"/>
        </w:numPr>
        <w:spacing w:before="0" w:after="200" w:line="240" w:lineRule="auto"/>
        <w:rPr>
          <w:bCs/>
          <w:szCs w:val="20"/>
        </w:rPr>
      </w:pPr>
      <w:r w:rsidRPr="004D4A8D">
        <w:rPr>
          <w:bCs/>
          <w:szCs w:val="20"/>
        </w:rPr>
        <w:t>Eventuais solicitações de ajustes de contratos e/ou validação deverão ser solicitadas observando os prazos estabelecidos no submódulo 3.1 - Contratos do Ambiente Livre, por contingência, nos termos do submódulo 1.4 - Atendimento, de forma que a CCEE garanta o atendimento aos critérios dispostos neste Anexo.</w:t>
      </w:r>
    </w:p>
    <w:sectPr w:rsidR="00C952E0" w:rsidRPr="004D4A8D" w:rsidSect="004D4A8D"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E92"/>
    <w:multiLevelType w:val="hybridMultilevel"/>
    <w:tmpl w:val="1666B5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09D8"/>
    <w:multiLevelType w:val="hybridMultilevel"/>
    <w:tmpl w:val="9F1A4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724FE"/>
    <w:multiLevelType w:val="hybridMultilevel"/>
    <w:tmpl w:val="9C2CBC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D"/>
    <w:rsid w:val="000C7C5A"/>
    <w:rsid w:val="002515FF"/>
    <w:rsid w:val="004D4A8D"/>
    <w:rsid w:val="008B32A8"/>
    <w:rsid w:val="00B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515"/>
  <w15:chartTrackingRefBased/>
  <w15:docId w15:val="{96C93BD4-C8AD-4C54-809F-DFF9C93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emissas">
    <w:name w:val="Premissas"/>
    <w:basedOn w:val="Normal"/>
    <w:link w:val="PremissasChar"/>
    <w:qFormat/>
    <w:rsid w:val="004D4A8D"/>
    <w:pPr>
      <w:keepNext/>
      <w:keepLines/>
      <w:spacing w:before="120" w:after="0" w:line="360" w:lineRule="auto"/>
      <w:contextualSpacing/>
      <w:jc w:val="both"/>
    </w:pPr>
    <w:rPr>
      <w:rFonts w:ascii="Verdana" w:eastAsia="Calibri" w:hAnsi="Verdana" w:cs="Times New Roman"/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D4A8D"/>
    <w:rPr>
      <w:rFonts w:ascii="Verdana" w:eastAsia="Calibri" w:hAnsi="Verdana" w:cs="Times New Roman"/>
      <w:color w:val="1F497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cppereira</cp:lastModifiedBy>
  <cp:revision>1</cp:revision>
  <dcterms:created xsi:type="dcterms:W3CDTF">2022-03-29T18:24:00Z</dcterms:created>
  <dcterms:modified xsi:type="dcterms:W3CDTF">2022-03-29T18:27:00Z</dcterms:modified>
</cp:coreProperties>
</file>