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AB2D" w14:textId="66FC70F9" w:rsidR="00B20F81" w:rsidRPr="00B20F81" w:rsidRDefault="00B20F81" w:rsidP="00B20F81">
      <w:pPr>
        <w:pStyle w:val="Premissas"/>
        <w:numPr>
          <w:ilvl w:val="0"/>
          <w:numId w:val="0"/>
        </w:numPr>
        <w:jc w:val="center"/>
        <w:rPr>
          <w:b/>
          <w:bCs/>
          <w:szCs w:val="20"/>
        </w:rPr>
      </w:pPr>
      <w:r w:rsidRPr="00B20F81">
        <w:rPr>
          <w:b/>
          <w:bCs/>
          <w:szCs w:val="20"/>
        </w:rPr>
        <w:t>Antecipação dos efeitos financeiros (recontabilização express)</w:t>
      </w:r>
    </w:p>
    <w:p w14:paraId="21C7B5EA" w14:textId="77777777" w:rsidR="00B20F81" w:rsidRPr="00B20F81" w:rsidRDefault="00B20F81" w:rsidP="00B20F81">
      <w:pPr>
        <w:pStyle w:val="Premissas"/>
        <w:numPr>
          <w:ilvl w:val="0"/>
          <w:numId w:val="0"/>
        </w:numPr>
        <w:spacing w:after="120"/>
        <w:rPr>
          <w:szCs w:val="20"/>
        </w:rPr>
      </w:pPr>
    </w:p>
    <w:p w14:paraId="631430CA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</w:pPr>
      <w:r>
        <w:t xml:space="preserve">Para que uma solicitação de </w:t>
      </w:r>
      <w:proofErr w:type="spellStart"/>
      <w:r>
        <w:t>recontabilização</w:t>
      </w:r>
      <w:proofErr w:type="spellEnd"/>
      <w:r>
        <w:t xml:space="preserve"> possa ser aprovada pelo processo </w:t>
      </w:r>
      <w:proofErr w:type="spellStart"/>
      <w:r>
        <w:t>express</w:t>
      </w:r>
      <w:proofErr w:type="spellEnd"/>
      <w:r>
        <w:t xml:space="preserve">, a solicitação deve atender cumulativamente aos seguintes critérios: </w:t>
      </w:r>
    </w:p>
    <w:p w14:paraId="18A0A5EE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  <w:ind w:left="567"/>
      </w:pPr>
      <w:r>
        <w:t>(a) ser solicitada por agente da CCEE;</w:t>
      </w:r>
    </w:p>
    <w:p w14:paraId="660A4831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  <w:ind w:left="567"/>
      </w:pPr>
      <w:r>
        <w:t>(b) ter anuência da(s) contraparte(s) diretamente envolvida(s), quando aplicável;</w:t>
      </w:r>
    </w:p>
    <w:p w14:paraId="33806A80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  <w:ind w:left="567"/>
      </w:pPr>
      <w:r>
        <w:t>(c) ser integralmente tempestiva, conforme prazos estabelecidos neste Submódulo;</w:t>
      </w:r>
    </w:p>
    <w:p w14:paraId="60827D26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  <w:ind w:left="567"/>
      </w:pPr>
      <w:r>
        <w:t>(d) não produzir impactos em operacionalização de ações judiciais em andamento;</w:t>
      </w:r>
    </w:p>
    <w:p w14:paraId="0908140B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  <w:ind w:left="567"/>
      </w:pPr>
      <w:r>
        <w:t>(e) possuir indícios suficientes de que a origem da solicitação seja relacionada a erro em processo de contabilização e liquidação;</w:t>
      </w:r>
    </w:p>
    <w:p w14:paraId="15F5996E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  <w:ind w:left="567"/>
      </w:pPr>
      <w:r>
        <w:t>(f) ser isenta de pedidos extraordinários dos agentes;</w:t>
      </w:r>
    </w:p>
    <w:p w14:paraId="0A0BC39E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  <w:ind w:left="567"/>
      </w:pPr>
      <w:r>
        <w:t xml:space="preserve">(g) não gerar impacto direto nas apurações do Mercado Regulado, a saber: Receita de Venda - RRV, Energia de Reserva, Cotas de Energia Nuclear e de Garantia Física, Mecanismos de Compensação de Sobras e Déficits - </w:t>
      </w:r>
      <w:proofErr w:type="spellStart"/>
      <w:r>
        <w:t>MCSDs</w:t>
      </w:r>
      <w:proofErr w:type="spellEnd"/>
      <w:r>
        <w:t xml:space="preserve">, Mecanismo de Venda de Excedentes - MVE, </w:t>
      </w:r>
      <w:proofErr w:type="spellStart"/>
      <w:r>
        <w:t>Proinfa</w:t>
      </w:r>
      <w:proofErr w:type="spellEnd"/>
      <w:r>
        <w:t xml:space="preserve"> ou outra que vier a ser criada;</w:t>
      </w:r>
    </w:p>
    <w:p w14:paraId="005C2FC9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  <w:ind w:left="567"/>
      </w:pPr>
      <w:r>
        <w:t>(h) ser solicitada por meio da plataforma de operações da CCEE;</w:t>
      </w:r>
    </w:p>
    <w:p w14:paraId="6BA1EC03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  <w:ind w:left="567"/>
      </w:pPr>
      <w:r>
        <w:t>(i) a Superintendência tenha condições de simular os efeitos específicos da solicitação por meio de simulador que utilize as mesmas Regras de Comercialização e dados de entrada do sistema específico.</w:t>
      </w:r>
    </w:p>
    <w:p w14:paraId="3DE81F8F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</w:pPr>
      <w:r>
        <w:t xml:space="preserve">Solicitações de </w:t>
      </w:r>
      <w:proofErr w:type="spellStart"/>
      <w:r>
        <w:t>recontabilização</w:t>
      </w:r>
      <w:proofErr w:type="spellEnd"/>
      <w:r>
        <w:t xml:space="preserve"> determinadas pela ANEEL ou abertas de ofício pela CCEE poderão ser aprovadas pelo processo </w:t>
      </w:r>
      <w:proofErr w:type="spellStart"/>
      <w:r>
        <w:t>express</w:t>
      </w:r>
      <w:proofErr w:type="spellEnd"/>
      <w:r>
        <w:t xml:space="preserve"> desde que, cumulativamente, se enquadrem nos itens (d), (f), (g) e (i). </w:t>
      </w:r>
    </w:p>
    <w:p w14:paraId="0D0F8B8A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</w:pPr>
      <w:r>
        <w:t xml:space="preserve">A antecipação provisória dos efeitos financeiros na contabilização do MCP de solicitações de </w:t>
      </w:r>
      <w:proofErr w:type="spellStart"/>
      <w:r>
        <w:t>recontabilização</w:t>
      </w:r>
      <w:proofErr w:type="spellEnd"/>
      <w:r>
        <w:t xml:space="preserve"> será aplicada com as devidas atualizações monetárias e conforme simulação citada em (j) em um mês de referência de contabilização desde que a solicitação esteja aprovada no processo </w:t>
      </w:r>
      <w:proofErr w:type="spellStart"/>
      <w:r>
        <w:t>express</w:t>
      </w:r>
      <w:proofErr w:type="spellEnd"/>
      <w:r>
        <w:t xml:space="preserve"> até o 9º dia útil do mês seguinte ao de referência (MS+9du).</w:t>
      </w:r>
    </w:p>
    <w:p w14:paraId="2868F7C3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</w:pPr>
      <w:r>
        <w:t xml:space="preserve">Até que haja a deliberação do </w:t>
      </w:r>
      <w:proofErr w:type="spellStart"/>
      <w:r>
        <w:t>CAd</w:t>
      </w:r>
      <w:proofErr w:type="spellEnd"/>
      <w:r>
        <w:t xml:space="preserve"> que homologue as solicitações de </w:t>
      </w:r>
      <w:proofErr w:type="spellStart"/>
      <w:r>
        <w:t>recontabilização</w:t>
      </w:r>
      <w:proofErr w:type="spellEnd"/>
      <w:r>
        <w:t xml:space="preserve"> aprovadas no processo </w:t>
      </w:r>
      <w:proofErr w:type="spellStart"/>
      <w:r>
        <w:t>express</w:t>
      </w:r>
      <w:proofErr w:type="spellEnd"/>
      <w:r>
        <w:t>, a aprovação pela Superintendência da CCEE, por meio da Gerência Executiva de Contabilização e Liquidação - GECTL, será considerada provisória.</w:t>
      </w:r>
    </w:p>
    <w:p w14:paraId="5DF5CA61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</w:pPr>
      <w:r>
        <w:t xml:space="preserve">Conforme calendário previsto na premissa 3.42 deste Submódulo, serão mantidos os processamentos dos meses impactados por quaisquer solicitações de </w:t>
      </w:r>
      <w:proofErr w:type="spellStart"/>
      <w:r>
        <w:t>recontabilização</w:t>
      </w:r>
      <w:proofErr w:type="spellEnd"/>
      <w:r>
        <w:t>, nos quais os efeitos definitivos dos processos serão apurados e poderão ser observadas eventuais diferenças em relação aos efeitos provisórios antecipados com base em simulação realizada nos termos supracitados.</w:t>
      </w:r>
    </w:p>
    <w:p w14:paraId="3961E393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</w:pPr>
      <w:r>
        <w:t xml:space="preserve">As diferenças supracitadas deverão ser aplicadas com as devidas atualizações monetárias e respeitando as premissas 3.44 e 3.45 deste Submódulo quanto ao rateio de diferenças em caso de desligamento sem sucessão ou à transferência dos efeitos para o sucessor. </w:t>
      </w:r>
    </w:p>
    <w:p w14:paraId="7B644D4C" w14:textId="77777777" w:rsidR="009F3613" w:rsidRDefault="009F3613" w:rsidP="009F3613">
      <w:pPr>
        <w:pStyle w:val="Premissas"/>
        <w:numPr>
          <w:ilvl w:val="0"/>
          <w:numId w:val="0"/>
        </w:numPr>
        <w:spacing w:after="120"/>
      </w:pPr>
      <w:r>
        <w:t xml:space="preserve">As solicitações de </w:t>
      </w:r>
      <w:proofErr w:type="spellStart"/>
      <w:r>
        <w:t>recontabilização</w:t>
      </w:r>
      <w:proofErr w:type="spellEnd"/>
      <w:r>
        <w:t xml:space="preserve"> poderão ser recebidas a partir da divulgação da Memória de Cálculo de Garantias Financeiras do MCP (MS+12du) do mês de referência a ser </w:t>
      </w:r>
      <w:proofErr w:type="spellStart"/>
      <w:r>
        <w:t>recontabilizado</w:t>
      </w:r>
      <w:proofErr w:type="spellEnd"/>
      <w:r>
        <w:t xml:space="preserve">. </w:t>
      </w:r>
    </w:p>
    <w:p w14:paraId="57CD2129" w14:textId="412FFA81" w:rsidR="0072069E" w:rsidRPr="009F3613" w:rsidRDefault="009F3613" w:rsidP="009F3613">
      <w:pPr>
        <w:pStyle w:val="Premissas"/>
        <w:numPr>
          <w:ilvl w:val="0"/>
          <w:numId w:val="0"/>
        </w:numPr>
        <w:spacing w:after="120"/>
      </w:pPr>
      <w:r>
        <w:t xml:space="preserve">Caso a análise técnica da Superintendência conclua pela reprovação da solicitação ou pela necessidade de apreciação e deliberação do </w:t>
      </w:r>
      <w:proofErr w:type="spellStart"/>
      <w:r>
        <w:t>CAd</w:t>
      </w:r>
      <w:proofErr w:type="spellEnd"/>
      <w:r>
        <w:t xml:space="preserve">, incluindo, mas não se restringindo, a existência de solicitações extraordinárias dos agentes envolvidos, fica vedada a aprovação da solicitação pelo processo express. </w:t>
      </w:r>
    </w:p>
    <w:sectPr w:rsidR="0072069E" w:rsidRPr="009F3613" w:rsidSect="00B20F81">
      <w:pgSz w:w="11906" w:h="16838"/>
      <w:pgMar w:top="5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B6382"/>
    <w:multiLevelType w:val="hybridMultilevel"/>
    <w:tmpl w:val="2CF2886E"/>
    <w:lvl w:ilvl="0" w:tplc="571A03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B10B6"/>
    <w:multiLevelType w:val="multilevel"/>
    <w:tmpl w:val="DF1CBE8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Premissas"/>
      <w:lvlText w:val="%1.%2."/>
      <w:lvlJc w:val="left"/>
      <w:pPr>
        <w:ind w:left="2065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num w:numId="1" w16cid:durableId="1446533783">
    <w:abstractNumId w:val="0"/>
  </w:num>
  <w:num w:numId="2" w16cid:durableId="162938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RGo4RUd8U+7j8rqC5Dqkxs+c350hhi9Cfxmt0pDz/PRaPgT6OxWYoIs8AlsZ66A8319WpZbefe4JNp+Ny9Yuw==" w:salt="yOwn3L2bvQOMVd1mFwYe0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F2"/>
    <w:rsid w:val="001951F2"/>
    <w:rsid w:val="001D1F0D"/>
    <w:rsid w:val="002B252A"/>
    <w:rsid w:val="005E62FF"/>
    <w:rsid w:val="006068E9"/>
    <w:rsid w:val="00640735"/>
    <w:rsid w:val="009F3613"/>
    <w:rsid w:val="00B20F81"/>
    <w:rsid w:val="00CB55BC"/>
    <w:rsid w:val="00CE02FF"/>
    <w:rsid w:val="00F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1847"/>
  <w15:chartTrackingRefBased/>
  <w15:docId w15:val="{F89837CF-D433-4D94-A04A-F3A3BD49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1951F2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951F2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51F2"/>
    <w:rPr>
      <w:rFonts w:ascii="Calibri" w:eastAsia="Times New Roman" w:hAnsi="Calibri" w:cs="Times New Roman"/>
      <w:sz w:val="16"/>
      <w:szCs w:val="16"/>
    </w:rPr>
  </w:style>
  <w:style w:type="table" w:styleId="Tabelacomgrade">
    <w:name w:val="Table Grid"/>
    <w:basedOn w:val="Tabelanormal"/>
    <w:rsid w:val="001951F2"/>
    <w:pPr>
      <w:spacing w:after="0" w:line="240" w:lineRule="auto"/>
      <w:jc w:val="both"/>
    </w:pPr>
    <w:rPr>
      <w:rFonts w:ascii="Verdana" w:hAnsi="Verdan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5E62FF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5E62FF"/>
    <w:rPr>
      <w:rFonts w:ascii="Verdana" w:eastAsia="Calibri" w:hAnsi="Verdana" w:cs="Times New Roman"/>
      <w:color w:val="323E4F" w:themeColor="text2" w:themeShade="BF"/>
      <w:sz w:val="16"/>
    </w:rPr>
  </w:style>
  <w:style w:type="paragraph" w:customStyle="1" w:styleId="Premissas">
    <w:name w:val="Premissas"/>
    <w:basedOn w:val="Normal"/>
    <w:link w:val="PremissasChar"/>
    <w:qFormat/>
    <w:rsid w:val="00B20F81"/>
    <w:pPr>
      <w:keepNext/>
      <w:keepLines/>
      <w:numPr>
        <w:ilvl w:val="1"/>
        <w:numId w:val="2"/>
      </w:numPr>
      <w:spacing w:before="120" w:line="360" w:lineRule="auto"/>
      <w:contextualSpacing/>
      <w:jc w:val="both"/>
    </w:pPr>
    <w:rPr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B20F81"/>
    <w:rPr>
      <w:rFonts w:ascii="Verdana" w:eastAsia="Calibri" w:hAnsi="Verdana" w:cs="Times New Roman"/>
      <w:color w:val="1F497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Araujo</dc:creator>
  <cp:keywords/>
  <dc:description/>
  <cp:lastModifiedBy>cppereira</cp:lastModifiedBy>
  <cp:revision>3</cp:revision>
  <dcterms:created xsi:type="dcterms:W3CDTF">2023-04-17T22:05:00Z</dcterms:created>
  <dcterms:modified xsi:type="dcterms:W3CDTF">2023-04-17T22:06:00Z</dcterms:modified>
</cp:coreProperties>
</file>